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mbeddings/oleObject1.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E23A6" w14:paraId="46A5E924" w14:textId="4F4ABD08">
      <w:pPr>
        <w:pStyle w:val="NoSpacing"/>
        <w:rPr>
          <w:rFonts w:ascii="Times New Roman" w:hAnsi="Times New Roman" w:eastAsiaTheme="minorHAnsi" w:cs="Times New Roman"/>
          <w:sz w:val="24"/>
        </w:rPr>
      </w:pPr>
      <w:r>
        <w:rPr>
          <w:rFonts w:ascii="Times New Roman" w:hAnsi="Times New Roman" w:eastAsiaTheme="minorHAnsi" w:cs="Times New Roman"/>
          <w:sz w:val="24"/>
        </w:rPr>
        <w:t>0,5</w:t>
      </w:r>
    </w:p>
    <w:p w:rsidR="00883473" w14:paraId="54681422" w14:textId="43BD0CEE">
      <w:pPr>
        <w:pStyle w:val="NoSpacing"/>
        <w:rPr>
          <w:rFonts w:ascii="Times New Roman" w:hAnsi="Times New Roman" w:eastAsiaTheme="minorHAnsi" w:cs="Times New Roman"/>
          <w:sz w:val="24"/>
        </w:rPr>
      </w:pPr>
    </w:p>
    <w:p w:rsidR="0084640E" w14:paraId="37D94E8B" w14:textId="77777777">
      <w:pPr>
        <w:spacing w:before="0" w:after="120" w:line="264" w:lineRule="auto"/>
        <w:jc w:val="left"/>
        <w:rPr>
          <w:rFonts w:cs="Times New Roman"/>
          <w:sz w:val="21"/>
        </w:rPr>
      </w:pPr>
    </w:p>
    <w:p w:rsidR="0084640E" w:rsidRPr="008E3F65" w14:paraId="26A6FD72" w14:textId="77777777">
      <w:pPr>
        <w:pStyle w:val="NoSpacing"/>
        <w:rPr>
          <w:rFonts w:ascii="Times New Roman" w:hAnsi="Times New Roman" w:cs="Times New Roman"/>
        </w:rPr>
      </w:pPr>
    </w:p>
    <w:p w:rsidR="0084640E" w14:paraId="6F55B4CF"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p>
    <w:p w:rsidR="006906B2" w:rsidRPr="006906B2" w14:paraId="46066475"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r>
        <w:rPr>
          <w:noProof/>
          <w:lang w:eastAsia="lv-LV"/>
        </w:rPr>
        <mc:AlternateContent>
          <mc:Choice Requires="wpg">
            <w:drawing>
              <wp:anchor distT="0" distB="0" distL="114300" distR="114300" simplePos="0" relativeHeight="251662336" behindDoc="0" locked="0" layoutInCell="1" allowOverlap="1">
                <wp:simplePos x="0" y="0"/>
                <wp:positionH relativeFrom="page">
                  <wp:posOffset>828040</wp:posOffset>
                </wp:positionH>
                <wp:positionV relativeFrom="page">
                  <wp:posOffset>629920</wp:posOffset>
                </wp:positionV>
                <wp:extent cx="216074" cy="9718511"/>
                <wp:effectExtent l="0" t="0" r="3175" b="635"/>
                <wp:wrapNone/>
                <wp:docPr id="114"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216074" cy="9718511"/>
                          <a:chOff x="0" y="0"/>
                          <a:chExt cx="228600" cy="9144000"/>
                        </a:xfrm>
                      </wpg:grpSpPr>
                      <wps:wsp xmlns:wps="http://schemas.microsoft.com/office/word/2010/wordprocessingShape">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2900</wp14:pctWidth>
                </wp14:sizeRelH>
                <wp14:sizeRelV relativeFrom="page">
                  <wp14:pctHeight>90900</wp14:pctHeight>
                </wp14:sizeRelV>
              </wp:anchor>
            </w:drawing>
          </mc:Choice>
          <mc:Fallback>
            <w:pict>
              <v:group id="Group 114" o:spid="_x0000_s1025" style="width:18pt;height:10in;margin-top:49.6pt;margin-left:65.2pt;mso-height-percent:909;mso-position-horizontal-relative:page;mso-position-vertical-relative:page;mso-width-percent:29;position:absolute;z-index:251663360" coordsize="2286,91440">
                <v:rect id="Rectangle 115" o:spid="_x0000_s1026" style="width:2286;height:87820;mso-wrap-style:square;position:absolute;visibility:visible;v-text-anchor:middle" fillcolor="#9b2d1f" stroked="f" strokeweight="1pt"/>
                <v:rect id="Rectangle 116" o:spid="_x0000_s1027" style="width:2286;height:2286;mso-wrap-style:square;position:absolute;top:89154;visibility:visible;v-text-anchor:middle" fillcolor="#d34817" stroked="f" strokeweight="1pt">
                  <v:path arrowok="t"/>
                  <o:lock v:ext="edit" aspectratio="t"/>
                </v:rect>
              </v:group>
            </w:pict>
          </mc:Fallback>
        </mc:AlternateContent>
      </w:r>
      <w:r w:rsidRPr="008E3F65" w:rsidR="00E3471F">
        <w:rPr>
          <w:rFonts w:eastAsia="Times New Roman" w:cs="Times New Roman"/>
          <w:b/>
          <w:bCs/>
          <w:noProof/>
          <w:szCs w:val="24"/>
          <w:lang w:eastAsia="lv-LV"/>
        </w:rPr>
        <mc:AlternateContent>
          <mc:Choice Requires="wps">
            <w:drawing>
              <wp:anchor distT="0" distB="0" distL="114300" distR="114300" simplePos="0" relativeHeight="251660288" behindDoc="0" locked="0" layoutInCell="1" allowOverlap="1">
                <wp:simplePos x="0" y="0"/>
                <wp:positionH relativeFrom="column">
                  <wp:posOffset>2797662</wp:posOffset>
                </wp:positionH>
                <wp:positionV relativeFrom="paragraph">
                  <wp:posOffset>9343080</wp:posOffset>
                </wp:positionV>
                <wp:extent cx="552893" cy="371150"/>
                <wp:effectExtent l="0" t="0" r="0" b="0"/>
                <wp:wrapNone/>
                <wp:docPr id="66" name="Rectangle 66"/>
                <wp:cNvGraphicFramePr/>
                <a:graphic xmlns:a="http://schemas.openxmlformats.org/drawingml/2006/main">
                  <a:graphicData uri="http://schemas.microsoft.com/office/word/2010/wordprocessingShape">
                    <wps:wsp xmlns:wps="http://schemas.microsoft.com/office/word/2010/wordprocessingShape">
                      <wps:cNvSpPr/>
                      <wps:spPr>
                        <a:xfrm>
                          <a:off x="0" y="0"/>
                          <a:ext cx="552893" cy="371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6" o:spid="_x0000_s1028" style="width:43.55pt;height:29.2pt;margin-top:735.7pt;margin-left:220.3pt;mso-wrap-distance-bottom:0;mso-wrap-distance-left:9pt;mso-wrap-distance-right:9pt;mso-wrap-distance-top:0;mso-wrap-style:square;position:absolute;visibility:visible;v-text-anchor:middle;z-index:251661312" fillcolor="white" stroked="f" strokeweight="1pt"/>
            </w:pict>
          </mc:Fallback>
        </mc:AlternateContent>
      </w:r>
    </w:p>
    <w:p w:rsidR="006906B2" w:rsidRPr="006906B2" w14:paraId="7E48AEB2"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p>
    <w:p w:rsidR="006906B2" w:rsidRPr="006906B2" w14:paraId="4562ECD5"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p>
    <w:p w:rsidR="006906B2" w14:paraId="7F247F1E"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p>
    <w:p w:rsidR="006906B2" w14:paraId="362D96A3"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p>
    <w:p w:rsidR="006906B2" w:rsidRPr="006906B2" w14:paraId="0DF8C50F" w14:textId="77777777">
      <w:pPr>
        <w:rPr>
          <w:rFonts w:cs="Times New Roman"/>
          <w:color w:val="9D3511" w:themeColor="accent1" w:themeShade="BF"/>
          <w:sz w:val="36"/>
          <w:szCs w:val="36"/>
          <w14:shadow w14:blurRad="50800" w14:dist="38100" w14:dir="5400000" w14:sx="100000" w14:sy="100000" w14:kx="0" w14:ky="0" w14:algn="t">
            <w14:srgbClr w14:val="000000">
              <w14:alpha w14:val="60000"/>
            </w14:srgbClr>
          </w14:shadow>
        </w:rPr>
      </w:pPr>
    </w:p>
    <w:p w:rsidR="00D12AFA" w14:paraId="1BAC7BC3" w14:textId="77777777">
      <w:pPr>
        <w:rPr>
          <w:rFonts w:eastAsia="Times New Roman" w:cs="Times New Roman"/>
          <w:b/>
          <w:bCs/>
          <w:szCs w:val="24"/>
          <w:lang w:eastAsia="lv-LV"/>
        </w:rPr>
      </w:pPr>
    </w:p>
    <w:p w:rsidR="0084640E" w:rsidP="00B179DF" w14:paraId="43149ADE" w14:textId="77777777">
      <w:pPr>
        <w:pStyle w:val="Title"/>
        <w:jc w:val="center"/>
        <w:rPr>
          <w:rFonts w:ascii="Times New Roman" w:hAnsi="Times New Roman" w:cs="Times New Roman"/>
          <w14:textFill>
            <w14:gradFill rotWithShape="0">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6200000" w14:scaled="0"/>
            </w14:gradFill>
          </w14:textFill>
        </w:rPr>
      </w:pPr>
    </w:p>
    <w:p w:rsidR="00D12AFA" w:rsidRPr="00B179DF" w:rsidP="0084640E" w14:paraId="088604E1" w14:textId="77777777">
      <w:pPr>
        <w:pStyle w:val="Title"/>
        <w:ind w:left="567"/>
        <w:jc w:val="center"/>
        <w:rPr>
          <w:rFonts w:ascii="Times New Roman" w:hAnsi="Times New Roman" w:cs="Times New Roman"/>
          <w14:textFill>
            <w14:gradFill rotWithShape="0">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6200000" w14:scaled="0"/>
            </w14:gradFill>
          </w14:textFill>
        </w:rPr>
      </w:pPr>
      <w:r w:rsidRPr="00B179DF">
        <w:rPr>
          <w:rFonts w:ascii="Times New Roman" w:hAnsi="Times New Roman" w:cs="Times New Roman"/>
          <w14:textFill>
            <w14:gradFill rotWithShape="0">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6200000" w14:scaled="0"/>
            </w14:gradFill>
          </w14:textFill>
        </w:rPr>
        <w:t>Informatīvais ziņojums</w:t>
      </w:r>
    </w:p>
    <w:p w:rsidR="00D12AFA" w:rsidRPr="00D12AFA" w:rsidP="001D4D5A" w14:paraId="1875D121" w14:textId="77777777">
      <w:pPr>
        <w:pStyle w:val="Header"/>
      </w:pPr>
    </w:p>
    <w:p w:rsidR="00B179DF" w:rsidP="00543E92" w14:paraId="7AE4AAF6" w14:textId="77777777">
      <w:pPr>
        <w:pStyle w:val="Subtitle"/>
        <w:ind w:left="1134"/>
        <w:rPr>
          <w:rFonts w:eastAsia="Times New Roman" w:cs="Times New Roman"/>
          <w:b/>
          <w:bCs/>
          <w:szCs w:val="24"/>
          <w:lang w:eastAsia="lv-LV"/>
        </w:rPr>
        <w:sectPr w:rsidSect="00FF5050">
          <w:headerReference w:type="default" r:id="rId6"/>
          <w:footerReference w:type="even" r:id="rId7"/>
          <w:footerReference w:type="default" r:id="rId8"/>
          <w:headerReference w:type="first" r:id="rId9"/>
          <w:footerReference w:type="first" r:id="rId10"/>
          <w:pgSz w:w="11906" w:h="16838"/>
          <w:pgMar w:top="993" w:right="907" w:bottom="1418" w:left="1304" w:header="426" w:footer="193" w:gutter="0"/>
          <w:cols w:space="708"/>
          <w:titlePg/>
          <w:docGrid w:linePitch="360"/>
        </w:sectPr>
      </w:pPr>
      <w:r w:rsidRPr="00984BCA">
        <w:rPr>
          <w:rFonts w:cs="Times New Roman"/>
          <w:noProof/>
          <w:lang w:eastAsia="lv-LV"/>
        </w:rPr>
        <mc:AlternateContent>
          <mc:Choice Requires="wps">
            <w:drawing>
              <wp:anchor distT="0" distB="0" distL="114300" distR="114300" simplePos="0" relativeHeight="251658240" behindDoc="0" locked="0" layoutInCell="1" allowOverlap="1">
                <wp:simplePos x="0" y="0"/>
                <wp:positionH relativeFrom="page">
                  <wp:posOffset>2252130</wp:posOffset>
                </wp:positionH>
                <wp:positionV relativeFrom="page">
                  <wp:posOffset>9299445</wp:posOffset>
                </wp:positionV>
                <wp:extent cx="3402140" cy="415290"/>
                <wp:effectExtent l="0" t="0" r="0" b="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wps:spPr>
                        <a:xfrm>
                          <a:off x="0" y="0"/>
                          <a:ext cx="3402140"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C92" w:rsidRPr="00175402" w:rsidP="00883473" w14:textId="77777777">
                            <w:pPr>
                              <w:pStyle w:val="NoSpacing"/>
                              <w:jc w:val="center"/>
                              <w:rPr>
                                <w:rFonts w:ascii="Times New Roman" w:hAnsi="Times New Roman" w:cs="Times New Roman"/>
                                <w:color w:val="9D3511" w:themeColor="accent1" w:themeShade="BF"/>
                                <w:sz w:val="28"/>
                                <w:szCs w:val="28"/>
                              </w:rPr>
                            </w:pPr>
                            <w:r w:rsidRPr="00175402">
                              <w:rPr>
                                <w:rFonts w:ascii="Times New Roman" w:hAnsi="Times New Roman" w:cs="Times New Roman"/>
                                <w:color w:val="9D3511" w:themeColor="accent1" w:themeShade="BF"/>
                                <w:sz w:val="28"/>
                                <w:szCs w:val="28"/>
                              </w:rPr>
                              <w:t>Rīga</w:t>
                            </w:r>
                          </w:p>
                          <w:p w:rsidR="00016C92" w:rsidRPr="008A2A10" w:rsidP="00883473" w14:textId="04CC4F04">
                            <w:pPr>
                              <w:pStyle w:val="NoSpacing"/>
                              <w:jc w:val="center"/>
                              <w:rPr>
                                <w:rFonts w:ascii="Candara" w:hAnsi="Candara"/>
                                <w:color w:val="000000" w:themeColor="text1"/>
                              </w:rPr>
                            </w:pPr>
                            <w:r w:rsidRPr="00175402">
                              <w:rPr>
                                <w:rFonts w:ascii="Times New Roman" w:hAnsi="Times New Roman" w:cs="Times New Roman"/>
                                <w:color w:val="9D3511" w:themeColor="accent1" w:themeShade="BF"/>
                                <w:sz w:val="28"/>
                                <w:szCs w:val="28"/>
                              </w:rPr>
                              <w:t>201</w:t>
                            </w:r>
                            <w:r>
                              <w:rPr>
                                <w:rFonts w:ascii="Times New Roman" w:hAnsi="Times New Roman" w:cs="Times New Roman"/>
                                <w:color w:val="9D3511" w:themeColor="accent1" w:themeShade="BF"/>
                                <w:sz w:val="28"/>
                                <w:szCs w:val="28"/>
                              </w:rPr>
                              <w:t>8</w:t>
                            </w:r>
                            <w:r w:rsidRPr="00175402">
                              <w:rPr>
                                <w:rFonts w:ascii="Times New Roman" w:hAnsi="Times New Roman" w:cs="Times New Roman"/>
                                <w:color w:val="9D3511" w:themeColor="accent1" w:themeShade="BF"/>
                                <w:sz w:val="28"/>
                                <w:szCs w:val="28"/>
                              </w:rPr>
                              <w:t>.gad</w:t>
                            </w:r>
                            <w:r>
                              <w:rPr>
                                <w:rFonts w:ascii="Times New Roman" w:hAnsi="Times New Roman" w:cs="Times New Roman"/>
                                <w:color w:val="9D3511" w:themeColor="accent1" w:themeShade="BF"/>
                                <w:sz w:val="28"/>
                                <w:szCs w:val="28"/>
                              </w:rPr>
                              <w:t>a</w:t>
                            </w:r>
                            <w:r w:rsidRPr="00175402">
                              <w:rPr>
                                <w:rFonts w:ascii="Times New Roman" w:hAnsi="Times New Roman" w:cs="Times New Roman"/>
                                <w:color w:val="9D3511" w:themeColor="accent1" w:themeShade="BF"/>
                                <w:sz w:val="28"/>
                                <w:szCs w:val="28"/>
                              </w:rPr>
                              <w:t xml:space="preserve"> </w:t>
                            </w:r>
                            <w:r>
                              <w:rPr>
                                <w:rFonts w:ascii="Times New Roman" w:hAnsi="Times New Roman" w:cs="Times New Roman"/>
                                <w:color w:val="9D3511" w:themeColor="accent1" w:themeShade="BF"/>
                                <w:sz w:val="28"/>
                                <w:szCs w:val="28"/>
                              </w:rPr>
                              <w:t>februāris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width:267.9pt;height:32.7pt;margin-top:732.25pt;margin-left:177.35pt;mso-height-percent:0;mso-height-relative:margin;mso-position-horizontal-relative:page;mso-position-vertical-relative:page;mso-width-percent:450;mso-width-relative:page;mso-wrap-distance-bottom:0;mso-wrap-distance-left:9pt;mso-wrap-distance-right:9pt;mso-wrap-distance-top:0;mso-wrap-style:square;position:absolute;visibility:visible;v-text-anchor:bottom;z-index:251659264" filled="f" stroked="f" strokeweight="0.5pt">
                <v:textbox style="mso-fit-shape-to-text:t" inset="0,0,0,0">
                  <w:txbxContent>
                    <w:p w:rsidR="00016C92" w:rsidRPr="00175402" w:rsidP="00883473" w14:paraId="33B13FCE" w14:textId="77777777">
                      <w:pPr>
                        <w:pStyle w:val="NoSpacing"/>
                        <w:jc w:val="center"/>
                        <w:rPr>
                          <w:rFonts w:ascii="Times New Roman" w:hAnsi="Times New Roman" w:cs="Times New Roman"/>
                          <w:color w:val="9D3511" w:themeColor="accent1" w:themeShade="BF"/>
                          <w:sz w:val="28"/>
                          <w:szCs w:val="28"/>
                        </w:rPr>
                      </w:pPr>
                      <w:r w:rsidRPr="00175402">
                        <w:rPr>
                          <w:rFonts w:ascii="Times New Roman" w:hAnsi="Times New Roman" w:cs="Times New Roman"/>
                          <w:color w:val="9D3511" w:themeColor="accent1" w:themeShade="BF"/>
                          <w:sz w:val="28"/>
                          <w:szCs w:val="28"/>
                        </w:rPr>
                        <w:t>Rīga</w:t>
                      </w:r>
                    </w:p>
                    <w:p w:rsidR="00016C92" w:rsidRPr="008A2A10" w:rsidP="00883473" w14:paraId="31E98426" w14:textId="04CC4F04">
                      <w:pPr>
                        <w:pStyle w:val="NoSpacing"/>
                        <w:jc w:val="center"/>
                        <w:rPr>
                          <w:rFonts w:ascii="Candara" w:hAnsi="Candara"/>
                          <w:color w:val="000000" w:themeColor="text1"/>
                        </w:rPr>
                      </w:pPr>
                      <w:r w:rsidRPr="00175402">
                        <w:rPr>
                          <w:rFonts w:ascii="Times New Roman" w:hAnsi="Times New Roman" w:cs="Times New Roman"/>
                          <w:color w:val="9D3511" w:themeColor="accent1" w:themeShade="BF"/>
                          <w:sz w:val="28"/>
                          <w:szCs w:val="28"/>
                        </w:rPr>
                        <w:t>201</w:t>
                      </w:r>
                      <w:r>
                        <w:rPr>
                          <w:rFonts w:ascii="Times New Roman" w:hAnsi="Times New Roman" w:cs="Times New Roman"/>
                          <w:color w:val="9D3511" w:themeColor="accent1" w:themeShade="BF"/>
                          <w:sz w:val="28"/>
                          <w:szCs w:val="28"/>
                        </w:rPr>
                        <w:t>8</w:t>
                      </w:r>
                      <w:r w:rsidRPr="00175402">
                        <w:rPr>
                          <w:rFonts w:ascii="Times New Roman" w:hAnsi="Times New Roman" w:cs="Times New Roman"/>
                          <w:color w:val="9D3511" w:themeColor="accent1" w:themeShade="BF"/>
                          <w:sz w:val="28"/>
                          <w:szCs w:val="28"/>
                        </w:rPr>
                        <w:t>.gad</w:t>
                      </w:r>
                      <w:r>
                        <w:rPr>
                          <w:rFonts w:ascii="Times New Roman" w:hAnsi="Times New Roman" w:cs="Times New Roman"/>
                          <w:color w:val="9D3511" w:themeColor="accent1" w:themeShade="BF"/>
                          <w:sz w:val="28"/>
                          <w:szCs w:val="28"/>
                        </w:rPr>
                        <w:t>a</w:t>
                      </w:r>
                      <w:r w:rsidRPr="00175402">
                        <w:rPr>
                          <w:rFonts w:ascii="Times New Roman" w:hAnsi="Times New Roman" w:cs="Times New Roman"/>
                          <w:color w:val="9D3511" w:themeColor="accent1" w:themeShade="BF"/>
                          <w:sz w:val="28"/>
                          <w:szCs w:val="28"/>
                        </w:rPr>
                        <w:t xml:space="preserve"> </w:t>
                      </w:r>
                      <w:r>
                        <w:rPr>
                          <w:rFonts w:ascii="Times New Roman" w:hAnsi="Times New Roman" w:cs="Times New Roman"/>
                          <w:color w:val="9D3511" w:themeColor="accent1" w:themeShade="BF"/>
                          <w:sz w:val="28"/>
                          <w:szCs w:val="28"/>
                        </w:rPr>
                        <w:t>februāris</w:t>
                      </w:r>
                    </w:p>
                  </w:txbxContent>
                </v:textbox>
              </v:shape>
            </w:pict>
          </mc:Fallback>
        </mc:AlternateContent>
      </w:r>
      <w:r w:rsidRPr="00984BCA" w:rsidR="00175402">
        <w:rPr>
          <w:rStyle w:val="Emphasis"/>
          <w:sz w:val="31"/>
          <w:szCs w:val="31"/>
        </w:rPr>
        <w:t>D</w:t>
      </w:r>
      <w:r w:rsidRPr="00984BCA" w:rsidR="00D12AFA">
        <w:rPr>
          <w:rStyle w:val="Emphasis"/>
          <w:sz w:val="31"/>
          <w:szCs w:val="31"/>
        </w:rPr>
        <w:t xml:space="preserve">arbības programmas </w:t>
      </w:r>
      <w:r w:rsidR="00A26E0A">
        <w:rPr>
          <w:rStyle w:val="Emphasis"/>
          <w:sz w:val="31"/>
          <w:szCs w:val="31"/>
        </w:rPr>
        <w:t>“</w:t>
      </w:r>
      <w:r w:rsidRPr="00984BCA" w:rsidR="00D12AFA">
        <w:rPr>
          <w:rStyle w:val="Emphasis"/>
          <w:sz w:val="31"/>
          <w:szCs w:val="31"/>
        </w:rPr>
        <w:t>Izaugsme un nodarbinātība</w:t>
      </w:r>
      <w:r w:rsidR="00A26E0A">
        <w:rPr>
          <w:rStyle w:val="Emphasis"/>
          <w:sz w:val="31"/>
          <w:szCs w:val="31"/>
        </w:rPr>
        <w:t>”</w:t>
      </w:r>
      <w:r w:rsidRPr="00984BCA" w:rsidR="00D12AFA">
        <w:rPr>
          <w:rStyle w:val="Emphasis"/>
          <w:sz w:val="31"/>
          <w:szCs w:val="31"/>
        </w:rPr>
        <w:t xml:space="preserve"> 1.1.1.specifiskā atbalsta mērķa </w:t>
      </w:r>
      <w:r w:rsidR="00A26E0A">
        <w:rPr>
          <w:rStyle w:val="Emphasis"/>
          <w:sz w:val="31"/>
          <w:szCs w:val="31"/>
        </w:rPr>
        <w:t>“</w:t>
      </w:r>
      <w:r w:rsidRPr="00984BCA" w:rsidR="00D12AFA">
        <w:rPr>
          <w:rStyle w:val="Emphasis"/>
          <w:sz w:val="31"/>
          <w:szCs w:val="31"/>
        </w:rPr>
        <w:t>Palielināt Latvijas zinātnisko institūciju pētniecisko un inovatīvo kapacitāti un spēju piesaistīt ārējo finansējumu, ieguldot cilvēkresursos un infrastruktūrā</w:t>
      </w:r>
      <w:r w:rsidR="00A26E0A">
        <w:rPr>
          <w:rStyle w:val="Emphasis"/>
          <w:sz w:val="31"/>
          <w:szCs w:val="31"/>
        </w:rPr>
        <w:t>”</w:t>
      </w:r>
      <w:r w:rsidRPr="00984BCA" w:rsidR="00D12AFA">
        <w:rPr>
          <w:rStyle w:val="Emphasis"/>
          <w:sz w:val="31"/>
          <w:szCs w:val="31"/>
        </w:rPr>
        <w:t xml:space="preserve"> </w:t>
      </w:r>
      <w:r w:rsidRPr="00984BCA" w:rsidR="007C4376">
        <w:rPr>
          <w:rStyle w:val="Emphasis"/>
          <w:sz w:val="31"/>
          <w:szCs w:val="31"/>
        </w:rPr>
        <w:t>pasākumu</w:t>
      </w:r>
      <w:r w:rsidRPr="00984BCA" w:rsidR="003B6FE2">
        <w:rPr>
          <w:rStyle w:val="Emphasis"/>
          <w:sz w:val="31"/>
          <w:szCs w:val="31"/>
        </w:rPr>
        <w:t xml:space="preserve"> </w:t>
      </w:r>
      <w:r w:rsidRPr="00984BCA" w:rsidR="00D12AFA">
        <w:rPr>
          <w:rStyle w:val="Emphasis"/>
          <w:sz w:val="31"/>
          <w:szCs w:val="31"/>
        </w:rPr>
        <w:t xml:space="preserve">pirmās </w:t>
      </w:r>
      <w:r w:rsidRPr="00984BCA" w:rsidR="006906B2">
        <w:rPr>
          <w:rStyle w:val="Emphasis"/>
          <w:sz w:val="31"/>
          <w:szCs w:val="31"/>
        </w:rPr>
        <w:t xml:space="preserve">projektu iesniegumu </w:t>
      </w:r>
      <w:r w:rsidRPr="00984BCA" w:rsidR="00D12AFA">
        <w:rPr>
          <w:rStyle w:val="Emphasis"/>
          <w:sz w:val="31"/>
          <w:szCs w:val="31"/>
        </w:rPr>
        <w:t xml:space="preserve">atlases </w:t>
      </w:r>
      <w:r w:rsidRPr="00984BCA" w:rsidR="006906B2">
        <w:rPr>
          <w:rStyle w:val="Emphasis"/>
          <w:sz w:val="31"/>
          <w:szCs w:val="31"/>
        </w:rPr>
        <w:t xml:space="preserve">kārtas </w:t>
      </w:r>
      <w:r w:rsidRPr="00984BCA" w:rsidR="00D12AFA">
        <w:rPr>
          <w:rStyle w:val="Emphasis"/>
          <w:sz w:val="31"/>
          <w:szCs w:val="31"/>
        </w:rPr>
        <w:t xml:space="preserve">rezultātu analīze un priekšlikumi turpmāko atlases kārtu </w:t>
      </w:r>
      <w:r w:rsidRPr="00984BCA" w:rsidR="006906B2">
        <w:rPr>
          <w:rStyle w:val="Emphasis"/>
          <w:sz w:val="31"/>
          <w:szCs w:val="31"/>
        </w:rPr>
        <w:t xml:space="preserve">saturiskiem un procedurāliem </w:t>
      </w:r>
      <w:r w:rsidR="00934B33">
        <w:rPr>
          <w:rStyle w:val="Emphasis"/>
          <w:sz w:val="31"/>
          <w:szCs w:val="31"/>
        </w:rPr>
        <w:t>uzlabojumie</w:t>
      </w:r>
      <w:r w:rsidR="00350B93">
        <w:rPr>
          <w:rStyle w:val="Emphasis"/>
          <w:sz w:val="31"/>
          <w:szCs w:val="31"/>
        </w:rPr>
        <w:t>m</w:t>
      </w:r>
    </w:p>
    <w:p w:rsidR="00883473" w:rsidRPr="008E3F65" w14:paraId="317FA69D" w14:textId="77777777">
      <w:pPr>
        <w:rPr>
          <w:rFonts w:eastAsia="Times New Roman" w:cs="Times New Roman"/>
          <w:b/>
          <w:bCs/>
          <w:szCs w:val="24"/>
          <w:lang w:eastAsia="lv-LV"/>
        </w:rPr>
      </w:pPr>
    </w:p>
    <w:p w:rsidR="00A0493B" w:rsidP="00710AB4" w14:paraId="0927A9A2" w14:textId="77777777">
      <w:pPr>
        <w:pStyle w:val="Heading1"/>
      </w:pPr>
      <w:bookmarkStart w:id="0" w:name="_Toc499019506"/>
      <w:bookmarkStart w:id="1" w:name="_Toc505086362"/>
      <w:bookmarkStart w:id="2" w:name="_Toc256000000"/>
      <w:bookmarkStart w:id="3" w:name="_Toc256000027"/>
      <w:r w:rsidRPr="008E3F65">
        <w:t>SATURS</w:t>
      </w:r>
      <w:bookmarkEnd w:id="3"/>
      <w:bookmarkEnd w:id="2"/>
      <w:bookmarkEnd w:id="0"/>
      <w:bookmarkEnd w:id="1"/>
    </w:p>
    <w:sdt>
      <w:sdtPr>
        <w:id w:val="1656591373"/>
        <w:docPartObj>
          <w:docPartGallery w:val="Table of Contents"/>
          <w:docPartUnique/>
        </w:docPartObj>
      </w:sdtPr>
      <w:sdtEndPr>
        <w:rPr>
          <w:b/>
          <w:bCs/>
          <w:noProof/>
        </w:rPr>
      </w:sdtEndPr>
      <w:sdtContent>
        <w:p>
          <w:pPr>
            <w:pStyle w:val="TOC1"/>
            <w:tabs>
              <w:tab w:val="right" w:leader="dot" w:pos="9061"/>
            </w:tabs>
            <w:rPr>
              <w:rFonts w:asciiTheme="minorHAnsi" w:hAnsiTheme="minorHAnsi"/>
              <w:noProof/>
              <w:sz w:val="22"/>
            </w:rPr>
          </w:pPr>
          <w:r w:rsidRPr="00F77DD2">
            <w:fldChar w:fldCharType="begin"/>
          </w:r>
          <w:r>
            <w:instrText xml:space="preserve"> TOC \o "1-3" \h \z \u </w:instrText>
          </w:r>
          <w:r w:rsidRPr="00F77DD2">
            <w:fldChar w:fldCharType="separate"/>
          </w:r>
          <w:r>
            <w:fldChar w:fldCharType="begin"/>
          </w:r>
          <w:r>
            <w:instrText xml:space="preserve"> HYPERLINK \l "_Toc256000027" </w:instrText>
          </w:r>
          <w:r>
            <w:fldChar w:fldCharType="separate"/>
          </w:r>
          <w:r w:rsidRPr="008E3F65">
            <w:rPr>
              <w:rStyle w:val="Hyperlink"/>
            </w:rPr>
            <w:t>SATURS</w:t>
          </w:r>
          <w:r>
            <w:tab/>
          </w:r>
          <w:r>
            <w:fldChar w:fldCharType="begin"/>
          </w:r>
          <w:r>
            <w:instrText xml:space="preserve"> PAGEREF _Toc256000027 \h </w:instrText>
          </w:r>
          <w:r>
            <w:fldChar w:fldCharType="separate"/>
          </w:r>
          <w:r>
            <w:t>2</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"_Toc256000028" </w:instrText>
          </w:r>
          <w:r>
            <w:fldChar w:fldCharType="separate"/>
          </w:r>
          <w:r w:rsidRPr="008E3F65">
            <w:rPr>
              <w:rStyle w:val="Hyperlink"/>
            </w:rPr>
            <w:t>IEVADS</w:t>
          </w:r>
          <w:r>
            <w:tab/>
          </w:r>
          <w:r>
            <w:fldChar w:fldCharType="begin"/>
          </w:r>
          <w:r>
            <w:instrText xml:space="preserve"> PAGEREF _Toc256000028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"_Toc256000029" </w:instrText>
          </w:r>
          <w:r>
            <w:fldChar w:fldCharType="separate"/>
          </w:r>
          <w:r w:rsidRPr="008E3F65">
            <w:rPr>
              <w:rStyle w:val="Hyperlink"/>
            </w:rPr>
            <w:t>KOPSAVILKUMS</w:t>
          </w:r>
          <w:r>
            <w:tab/>
          </w:r>
          <w:r>
            <w:fldChar w:fldCharType="begin"/>
          </w:r>
          <w:r>
            <w:instrText xml:space="preserve"> PAGEREF _Toc256000029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"_Toc256000030" </w:instrText>
          </w:r>
          <w:r>
            <w:fldChar w:fldCharType="separate"/>
          </w:r>
          <w:r w:rsidRPr="0084640E">
            <w:rPr>
              <w:rStyle w:val="Hyperlink"/>
            </w:rPr>
            <w:t>1.</w:t>
          </w:r>
          <w:r w:rsidRPr="0084640E" w:rsidR="009372AA">
            <w:rPr>
              <w:rStyle w:val="Hyperlink"/>
            </w:rPr>
            <w:t xml:space="preserve"> SAM 1.</w:t>
          </w:r>
          <w:r w:rsidRPr="0084640E">
            <w:rPr>
              <w:rStyle w:val="Hyperlink"/>
            </w:rPr>
            <w:t xml:space="preserve">1.1. </w:t>
          </w:r>
          <w:r w:rsidR="00F625A8">
            <w:rPr>
              <w:rStyle w:val="Hyperlink"/>
            </w:rPr>
            <w:t xml:space="preserve">pasākumu </w:t>
          </w:r>
          <w:r w:rsidRPr="0084640E" w:rsidR="00990ACC">
            <w:rPr>
              <w:rStyle w:val="Hyperlink"/>
            </w:rPr>
            <w:t>īstenošanas noteikumi</w:t>
          </w:r>
          <w:r>
            <w:tab/>
          </w:r>
          <w:r>
            <w:fldChar w:fldCharType="begin"/>
          </w:r>
          <w:r>
            <w:instrText xml:space="preserve"> PAGEREF _Toc256000030 \h </w:instrText>
          </w:r>
          <w:r>
            <w:fldChar w:fldCharType="separate"/>
          </w:r>
          <w:r>
            <w:t>6</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"_Toc256000031" </w:instrText>
          </w:r>
          <w:r>
            <w:fldChar w:fldCharType="separate"/>
          </w:r>
          <w:r>
            <w:rPr>
              <w:rStyle w:val="Hyperlink"/>
            </w:rPr>
            <w:t>1.1. </w:t>
          </w:r>
          <w:r w:rsidR="00C70A33">
            <w:rPr>
              <w:rStyle w:val="Hyperlink"/>
            </w:rPr>
            <w:t>Vispārīgie jautājumi</w:t>
          </w:r>
          <w:r>
            <w:tab/>
          </w:r>
          <w:r>
            <w:fldChar w:fldCharType="begin"/>
          </w:r>
          <w:r>
            <w:instrText xml:space="preserve"> PAGEREF _Toc256000031 \h </w:instrText>
          </w:r>
          <w:r>
            <w:fldChar w:fldCharType="separate"/>
          </w:r>
          <w:r>
            <w:t>6</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"_Toc256000032" </w:instrText>
          </w:r>
          <w:r>
            <w:fldChar w:fldCharType="separate"/>
          </w:r>
          <w:r>
            <w:rPr>
              <w:rStyle w:val="Hyperlink"/>
            </w:rPr>
            <w:t>1.1.1. </w:t>
          </w:r>
          <w:r w:rsidRPr="002E12C1">
            <w:rPr>
              <w:rStyle w:val="Hyperlink"/>
            </w:rPr>
            <w:t>Praktiskas ievirzes pētījumi</w:t>
          </w:r>
          <w:r>
            <w:tab/>
          </w:r>
          <w:r>
            <w:fldChar w:fldCharType="begin"/>
          </w:r>
          <w:r>
            <w:instrText xml:space="preserve"> PAGEREF _Toc256000032 \h </w:instrText>
          </w:r>
          <w:r>
            <w:fldChar w:fldCharType="separate"/>
          </w:r>
          <w:r>
            <w:t>6</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"_Toc256000033" </w:instrText>
          </w:r>
          <w:r>
            <w:fldChar w:fldCharType="separate"/>
          </w:r>
          <w:r>
            <w:rPr>
              <w:rStyle w:val="Hyperlink"/>
            </w:rPr>
            <w:t>1.1.2. </w:t>
          </w:r>
          <w:r w:rsidRPr="002E12C1">
            <w:rPr>
              <w:rStyle w:val="Hyperlink"/>
            </w:rPr>
            <w:t xml:space="preserve">Pēcdoktorantūras pētniecības </w:t>
          </w:r>
          <w:r w:rsidR="0090054D">
            <w:rPr>
              <w:rStyle w:val="Hyperlink"/>
            </w:rPr>
            <w:t>programma</w:t>
          </w:r>
          <w:r>
            <w:tab/>
          </w:r>
          <w:r>
            <w:fldChar w:fldCharType="begin"/>
          </w:r>
          <w:r>
            <w:instrText xml:space="preserve"> PAGEREF _Toc256000033 \h </w:instrText>
          </w:r>
          <w:r>
            <w:fldChar w:fldCharType="separate"/>
          </w:r>
          <w:r>
            <w:t>7</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"_Toc256000034" </w:instrText>
          </w:r>
          <w:r>
            <w:fldChar w:fldCharType="separate"/>
          </w:r>
          <w:r>
            <w:rPr>
              <w:rStyle w:val="Hyperlink"/>
            </w:rPr>
            <w:t>1.</w:t>
          </w:r>
          <w:r w:rsidR="00664A42">
            <w:rPr>
              <w:rStyle w:val="Hyperlink"/>
            </w:rPr>
            <w:t>2. </w:t>
          </w:r>
          <w:r w:rsidR="002A02BB">
            <w:rPr>
              <w:rStyle w:val="Hyperlink"/>
            </w:rPr>
            <w:t>S</w:t>
          </w:r>
          <w:r w:rsidRPr="007831B1" w:rsidR="00BF082F">
            <w:rPr>
              <w:rStyle w:val="Hyperlink"/>
            </w:rPr>
            <w:t>agaidāmie rezultāt</w:t>
          </w:r>
          <w:r w:rsidR="003A0121">
            <w:rPr>
              <w:rStyle w:val="Hyperlink"/>
            </w:rPr>
            <w:t xml:space="preserve">a </w:t>
          </w:r>
          <w:r w:rsidR="00A73FEB">
            <w:rPr>
              <w:rStyle w:val="Hyperlink"/>
            </w:rPr>
            <w:t xml:space="preserve">un iznākuma </w:t>
          </w:r>
          <w:r w:rsidR="003A0121">
            <w:rPr>
              <w:rStyle w:val="Hyperlink"/>
            </w:rPr>
            <w:t>rādītāji</w:t>
          </w:r>
          <w:r>
            <w:tab/>
          </w:r>
          <w:r>
            <w:fldChar w:fldCharType="begin"/>
          </w:r>
          <w:r>
            <w:instrText xml:space="preserve"> PAGEREF _Toc256000034 \h </w:instrText>
          </w:r>
          <w:r>
            <w:fldChar w:fldCharType="separate"/>
          </w:r>
          <w:r>
            <w:t>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"_Toc256000035" </w:instrText>
          </w:r>
          <w:r>
            <w:fldChar w:fldCharType="separate"/>
          </w:r>
          <w:r>
            <w:rPr>
              <w:rStyle w:val="Hyperlink"/>
            </w:rPr>
            <w:t>2</w:t>
          </w:r>
          <w:r w:rsidRPr="00D101A1" w:rsidR="00CB311D">
            <w:rPr>
              <w:rStyle w:val="Hyperlink"/>
            </w:rPr>
            <w:t>. </w:t>
          </w:r>
          <w:r w:rsidRPr="00D101A1" w:rsidR="007B1047">
            <w:rPr>
              <w:rStyle w:val="Hyperlink"/>
            </w:rPr>
            <w:t>SAM 1.1.1. pasākumu</w:t>
          </w:r>
          <w:r w:rsidRPr="00D101A1" w:rsidR="007A3E18">
            <w:rPr>
              <w:rStyle w:val="Hyperlink"/>
            </w:rPr>
            <w:t xml:space="preserve"> </w:t>
          </w:r>
          <w:r w:rsidRPr="00D101A1" w:rsidR="00787418">
            <w:rPr>
              <w:rStyle w:val="Hyperlink"/>
            </w:rPr>
            <w:t>īstenošanas</w:t>
          </w:r>
          <w:r w:rsidRPr="00D101A1" w:rsidR="00CB311D">
            <w:rPr>
              <w:rStyle w:val="Hyperlink"/>
            </w:rPr>
            <w:t xml:space="preserve"> analīze</w:t>
          </w:r>
          <w:r>
            <w:tab/>
          </w:r>
          <w:r>
            <w:fldChar w:fldCharType="begin"/>
          </w:r>
          <w:r>
            <w:instrText xml:space="preserve"> PAGEREF _Toc256000035 \h </w:instrText>
          </w:r>
          <w:r>
            <w:fldChar w:fldCharType="separate"/>
          </w:r>
          <w:r>
            <w:t>10</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"_Toc256000036" </w:instrText>
          </w:r>
          <w:r>
            <w:fldChar w:fldCharType="separate"/>
          </w:r>
          <w:r>
            <w:rPr>
              <w:rStyle w:val="Hyperlink"/>
            </w:rPr>
            <w:t>2.1. </w:t>
          </w:r>
          <w:r w:rsidR="00F625A8">
            <w:rPr>
              <w:rStyle w:val="Hyperlink"/>
            </w:rPr>
            <w:t>Pētniecības p</w:t>
          </w:r>
          <w:r w:rsidR="008566C1">
            <w:rPr>
              <w:rStyle w:val="Hyperlink"/>
            </w:rPr>
            <w:t>rojektu iesniegumu atlase</w:t>
          </w:r>
          <w:r>
            <w:tab/>
          </w:r>
          <w:r>
            <w:fldChar w:fldCharType="begin"/>
          </w:r>
          <w:r>
            <w:instrText xml:space="preserve"> PAGEREF _Toc256000036 \h </w:instrText>
          </w:r>
          <w:r>
            <w:fldChar w:fldCharType="separate"/>
          </w:r>
          <w:r>
            <w:t>10</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"_Toc256000037" </w:instrText>
          </w:r>
          <w:r>
            <w:fldChar w:fldCharType="separate"/>
          </w:r>
          <w:r>
            <w:rPr>
              <w:rStyle w:val="Hyperlink"/>
            </w:rPr>
            <w:t>2.1.1. </w:t>
          </w:r>
          <w:r w:rsidRPr="002E12C1">
            <w:rPr>
              <w:rStyle w:val="Hyperlink"/>
            </w:rPr>
            <w:t xml:space="preserve">Praktiskas ievirzes </w:t>
          </w:r>
          <w:r w:rsidRPr="00FC30AF">
            <w:rPr>
              <w:rStyle w:val="Hyperlink"/>
            </w:rPr>
            <w:t>pētījumi</w:t>
          </w:r>
          <w:r>
            <w:tab/>
          </w:r>
          <w:r>
            <w:fldChar w:fldCharType="begin"/>
          </w:r>
          <w:r>
            <w:instrText xml:space="preserve"> PAGEREF _Toc256000037 \h </w:instrText>
          </w:r>
          <w:r>
            <w:fldChar w:fldCharType="separate"/>
          </w:r>
          <w:r>
            <w:t>10</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"_Toc256000038" </w:instrText>
          </w:r>
          <w:r>
            <w:fldChar w:fldCharType="separate"/>
          </w:r>
          <w:r>
            <w:rPr>
              <w:rStyle w:val="Hyperlink"/>
            </w:rPr>
            <w:t>2</w:t>
          </w:r>
          <w:r w:rsidRPr="002E12C1">
            <w:rPr>
              <w:rStyle w:val="Hyperlink"/>
            </w:rPr>
            <w:t>.1.2</w:t>
          </w:r>
          <w:r w:rsidRPr="005C1071">
            <w:rPr>
              <w:rStyle w:val="Hyperlink"/>
            </w:rPr>
            <w:t>. Pēcdoktorantūras pētniecība</w:t>
          </w:r>
          <w:r w:rsidR="00D14E3E">
            <w:rPr>
              <w:rStyle w:val="Hyperlink"/>
            </w:rPr>
            <w:t>s</w:t>
          </w:r>
          <w:r w:rsidR="006833FD">
            <w:rPr>
              <w:rStyle w:val="Hyperlink"/>
            </w:rPr>
            <w:t xml:space="preserve"> </w:t>
          </w:r>
          <w:r w:rsidR="006833FD">
            <w:rPr>
              <w:rStyle w:val="Hyperlink"/>
            </w:rPr>
            <w:t>programma</w:t>
          </w:r>
          <w:r>
            <w:tab/>
          </w:r>
          <w:r>
            <w:fldChar w:fldCharType="begin"/>
          </w:r>
          <w:r>
            <w:instrText xml:space="preserve"> PAGEREF _Toc256000038 \h </w:instrText>
          </w:r>
          <w:r>
            <w:fldChar w:fldCharType="separate"/>
          </w:r>
          <w:r>
            <w:t>13</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"_Toc256000039" </w:instrText>
          </w:r>
          <w:r>
            <w:fldChar w:fldCharType="separate"/>
          </w:r>
          <w:r>
            <w:rPr>
              <w:rStyle w:val="Hyperlink"/>
            </w:rPr>
            <w:t>2.</w:t>
          </w:r>
          <w:r w:rsidR="004D7B4F">
            <w:rPr>
              <w:rStyle w:val="Hyperlink"/>
            </w:rPr>
            <w:t>2</w:t>
          </w:r>
          <w:r w:rsidRPr="001D1B89" w:rsidR="00CB311D">
            <w:rPr>
              <w:rStyle w:val="Hyperlink"/>
            </w:rPr>
            <w:t>. </w:t>
          </w:r>
          <w:r w:rsidRPr="001D1B89" w:rsidR="00F4586B">
            <w:rPr>
              <w:rStyle w:val="Hyperlink"/>
            </w:rPr>
            <w:t>Finanšu progres</w:t>
          </w:r>
          <w:r w:rsidRPr="001D1B89" w:rsidR="0007181A">
            <w:rPr>
              <w:rStyle w:val="Hyperlink"/>
            </w:rPr>
            <w:t>s</w:t>
          </w:r>
          <w:r>
            <w:tab/>
          </w:r>
          <w:r>
            <w:fldChar w:fldCharType="begin"/>
          </w:r>
          <w:r>
            <w:instrText xml:space="preserve"> PAGEREF _Toc256000039 \h </w:instrText>
          </w:r>
          <w:r>
            <w:fldChar w:fldCharType="separate"/>
          </w:r>
          <w:r>
            <w:t>17</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"_Toc256000040" </w:instrText>
          </w:r>
          <w:r>
            <w:fldChar w:fldCharType="separate"/>
          </w:r>
          <w:r>
            <w:rPr>
              <w:rStyle w:val="Hyperlink"/>
              <w:rFonts w:eastAsia="SimSun"/>
            </w:rPr>
            <w:t>2.</w:t>
          </w:r>
          <w:r w:rsidR="004D7B4F">
            <w:rPr>
              <w:rStyle w:val="Hyperlink"/>
              <w:rFonts w:eastAsia="SimSun"/>
            </w:rPr>
            <w:t>3</w:t>
          </w:r>
          <w:r>
            <w:rPr>
              <w:rStyle w:val="Hyperlink"/>
              <w:rFonts w:eastAsia="SimSun"/>
            </w:rPr>
            <w:t>.</w:t>
          </w:r>
          <w:r w:rsidR="00362C15">
            <w:rPr>
              <w:rStyle w:val="Hyperlink"/>
              <w:rFonts w:eastAsia="SimSun"/>
            </w:rPr>
            <w:t> </w:t>
          </w:r>
          <w:r w:rsidR="00ED39D9">
            <w:rPr>
              <w:rStyle w:val="Hyperlink"/>
              <w:rFonts w:eastAsia="SimSun"/>
            </w:rPr>
            <w:t>Investīcijas</w:t>
          </w:r>
          <w:r w:rsidRPr="008E3F65" w:rsidR="00AE1CF9">
            <w:rPr>
              <w:rStyle w:val="Hyperlink"/>
            </w:rPr>
            <w:t xml:space="preserve"> </w:t>
          </w:r>
          <w:r w:rsidR="00ED39D9">
            <w:rPr>
              <w:rStyle w:val="Hyperlink"/>
            </w:rPr>
            <w:t xml:space="preserve">pētniecībā </w:t>
          </w:r>
          <w:r w:rsidRPr="008E3F65" w:rsidR="00AE1CF9">
            <w:rPr>
              <w:rStyle w:val="Hyperlink"/>
            </w:rPr>
            <w:t xml:space="preserve">RIS3 </w:t>
          </w:r>
          <w:r w:rsidR="00ED39D9">
            <w:rPr>
              <w:rStyle w:val="Hyperlink"/>
            </w:rPr>
            <w:t>specializācijas jomās</w:t>
          </w:r>
          <w:r>
            <w:tab/>
          </w:r>
          <w:r>
            <w:fldChar w:fldCharType="begin"/>
          </w:r>
          <w:r>
            <w:instrText xml:space="preserve"> PAGEREF _Toc256000040 \h </w:instrText>
          </w:r>
          <w:r>
            <w:fldChar w:fldCharType="separate"/>
          </w:r>
          <w:r>
            <w:t>17</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"_Toc256000041" </w:instrText>
          </w:r>
          <w:r>
            <w:fldChar w:fldCharType="separate"/>
          </w:r>
          <w:r>
            <w:rPr>
              <w:rStyle w:val="Hyperlink"/>
            </w:rPr>
            <w:t>2</w:t>
          </w:r>
          <w:r w:rsidR="007B1047">
            <w:rPr>
              <w:rStyle w:val="Hyperlink"/>
            </w:rPr>
            <w:t>.</w:t>
          </w:r>
          <w:r w:rsidR="004D7B4F">
            <w:rPr>
              <w:rStyle w:val="Hyperlink"/>
            </w:rPr>
            <w:t>4</w:t>
          </w:r>
          <w:r w:rsidR="007B1047">
            <w:rPr>
              <w:rStyle w:val="Hyperlink"/>
            </w:rPr>
            <w:t>. </w:t>
          </w:r>
          <w:r>
            <w:rPr>
              <w:rStyle w:val="Hyperlink"/>
            </w:rPr>
            <w:t>K</w:t>
          </w:r>
          <w:r w:rsidR="009372AA">
            <w:rPr>
              <w:rStyle w:val="Hyperlink"/>
            </w:rPr>
            <w:t>opīgo un specifisko</w:t>
          </w:r>
          <w:r w:rsidR="007A3E18">
            <w:rPr>
              <w:rStyle w:val="Hyperlink"/>
            </w:rPr>
            <w:t xml:space="preserve"> iznākuma rādītāju izpildes </w:t>
          </w:r>
          <w:r w:rsidR="007B1047">
            <w:rPr>
              <w:rStyle w:val="Hyperlink"/>
            </w:rPr>
            <w:t>analīze</w:t>
          </w:r>
          <w:r>
            <w:tab/>
          </w:r>
          <w:r>
            <w:fldChar w:fldCharType="begin"/>
          </w:r>
          <w:r>
            <w:instrText xml:space="preserve"> PAGEREF _Toc256000041 \h </w:instrText>
          </w:r>
          <w:r>
            <w:fldChar w:fldCharType="separate"/>
          </w:r>
          <w:r>
            <w:t>20</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"_Toc256000042" </w:instrText>
          </w:r>
          <w:r>
            <w:fldChar w:fldCharType="separate"/>
          </w:r>
          <w:r>
            <w:rPr>
              <w:rStyle w:val="Hyperlink"/>
            </w:rPr>
            <w:t>2.5. </w:t>
          </w:r>
          <w:r w:rsidR="00405FFD">
            <w:rPr>
              <w:rStyle w:val="Hyperlink"/>
            </w:rPr>
            <w:t>Risinājumi iznākuma rādītāju izpildes riska mazināšanai</w:t>
          </w:r>
          <w:r>
            <w:tab/>
          </w:r>
          <w:r>
            <w:fldChar w:fldCharType="begin"/>
          </w:r>
          <w:r>
            <w:instrText xml:space="preserve"> PAGEREF _Toc256000042 \h </w:instrText>
          </w:r>
          <w:r>
            <w:fldChar w:fldCharType="separate"/>
          </w:r>
          <w:r>
            <w:t>24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"_Toc256000043" </w:instrText>
          </w:r>
          <w:r>
            <w:fldChar w:fldCharType="separate"/>
          </w:r>
          <w:r>
            <w:rPr>
              <w:rStyle w:val="Hyperlink"/>
            </w:rPr>
            <w:t>3</w:t>
          </w:r>
          <w:r w:rsidR="00362C15">
            <w:rPr>
              <w:rStyle w:val="Hyperlink"/>
            </w:rPr>
            <w:t>. </w:t>
          </w:r>
          <w:r w:rsidRPr="008A56D5" w:rsidR="00D668F7">
            <w:rPr>
              <w:rStyle w:val="Hyperlink"/>
            </w:rPr>
            <w:t xml:space="preserve">Priekšlikumi </w:t>
          </w:r>
          <w:r w:rsidR="00787418">
            <w:rPr>
              <w:rStyle w:val="Hyperlink"/>
            </w:rPr>
            <w:t xml:space="preserve">SAM 1.1.1. </w:t>
          </w:r>
          <w:r w:rsidR="000238B5">
            <w:rPr>
              <w:rStyle w:val="Hyperlink"/>
            </w:rPr>
            <w:t>īstenošanas</w:t>
          </w:r>
          <w:r w:rsidRPr="008A56D5" w:rsidR="00D668F7">
            <w:rPr>
              <w:rStyle w:val="Hyperlink"/>
            </w:rPr>
            <w:t xml:space="preserve"> uzlabojumiem</w:t>
          </w:r>
          <w:r>
            <w:tab/>
          </w:r>
          <w:r>
            <w:fldChar w:fldCharType="begin"/>
          </w:r>
          <w:r>
            <w:instrText xml:space="preserve"> PAGEREF _Toc256000043 \h </w:instrText>
          </w:r>
          <w:r>
            <w:fldChar w:fldCharType="separate"/>
          </w:r>
          <w:r>
            <w:t>38</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"_Toc256000044" </w:instrText>
          </w:r>
          <w:r>
            <w:fldChar w:fldCharType="separate"/>
          </w:r>
          <w:r>
            <w:rPr>
              <w:rStyle w:val="Hyperlink"/>
              <w:lang w:eastAsia="lv-LV"/>
            </w:rPr>
            <w:t>3</w:t>
          </w:r>
          <w:r w:rsidR="00266B04">
            <w:rPr>
              <w:rStyle w:val="Hyperlink"/>
              <w:lang w:eastAsia="lv-LV"/>
            </w:rPr>
            <w:t xml:space="preserve">.1. Projektu iesniegumu </w:t>
          </w:r>
          <w:r w:rsidR="006B63EB">
            <w:rPr>
              <w:rStyle w:val="Hyperlink"/>
              <w:lang w:eastAsia="lv-LV"/>
            </w:rPr>
            <w:t>atlase</w:t>
          </w:r>
          <w:r>
            <w:tab/>
          </w:r>
          <w:r>
            <w:fldChar w:fldCharType="begin"/>
          </w:r>
          <w:r>
            <w:instrText xml:space="preserve"> PAGEREF _Toc256000044 \h </w:instrText>
          </w:r>
          <w:r>
            <w:fldChar w:fldCharType="separate"/>
          </w:r>
          <w:r>
            <w:t>38</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"_Toc256000045" </w:instrText>
          </w:r>
          <w:r>
            <w:fldChar w:fldCharType="separate"/>
          </w:r>
          <w:r>
            <w:rPr>
              <w:rStyle w:val="Hyperlink"/>
            </w:rPr>
            <w:t>3.1.1. </w:t>
          </w:r>
          <w:r w:rsidRPr="002E12C1">
            <w:rPr>
              <w:rStyle w:val="Hyperlink"/>
            </w:rPr>
            <w:t>Praktiskas ievirzes pētījumi</w:t>
          </w:r>
          <w:r>
            <w:tab/>
          </w:r>
          <w:r>
            <w:fldChar w:fldCharType="begin"/>
          </w:r>
          <w:r>
            <w:instrText xml:space="preserve"> PAGEREF _Toc256000045 \h </w:instrText>
          </w:r>
          <w:r>
            <w:fldChar w:fldCharType="separate"/>
          </w:r>
          <w:r>
            <w:t>38</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"_Toc256000046" </w:instrText>
          </w:r>
          <w:r>
            <w:fldChar w:fldCharType="separate"/>
          </w:r>
          <w:r>
            <w:rPr>
              <w:rStyle w:val="Hyperlink"/>
            </w:rPr>
            <w:t>3</w:t>
          </w:r>
          <w:r w:rsidRPr="002E12C1">
            <w:rPr>
              <w:rStyle w:val="Hyperlink"/>
            </w:rPr>
            <w:t xml:space="preserve">.1.2. Pēcdoktorantūras pētniecības </w:t>
          </w:r>
          <w:r w:rsidR="001E63D3">
            <w:rPr>
              <w:rStyle w:val="Hyperlink"/>
            </w:rPr>
            <w:t>programma</w:t>
          </w:r>
          <w:r>
            <w:tab/>
          </w:r>
          <w:r>
            <w:fldChar w:fldCharType="begin"/>
          </w:r>
          <w:r>
            <w:instrText xml:space="preserve"> PAGEREF _Toc256000046 \h </w:instrText>
          </w:r>
          <w:r>
            <w:fldChar w:fldCharType="separate"/>
          </w:r>
          <w:r>
            <w:t>41</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"_Toc256000047" </w:instrText>
          </w:r>
          <w:r>
            <w:fldChar w:fldCharType="separate"/>
          </w:r>
          <w:r>
            <w:rPr>
              <w:rStyle w:val="Hyperlink"/>
            </w:rPr>
            <w:t>3</w:t>
          </w:r>
          <w:r w:rsidRPr="003F7D1B" w:rsidR="00DB64EA">
            <w:rPr>
              <w:rStyle w:val="Hyperlink"/>
            </w:rPr>
            <w:t>.</w:t>
          </w:r>
          <w:r w:rsidRPr="003F7D1B" w:rsidR="00266B04">
            <w:rPr>
              <w:rStyle w:val="Hyperlink"/>
            </w:rPr>
            <w:t>2</w:t>
          </w:r>
          <w:r w:rsidRPr="003F7D1B" w:rsidR="00DB64EA">
            <w:rPr>
              <w:rStyle w:val="Hyperlink"/>
            </w:rPr>
            <w:t>. </w:t>
          </w:r>
          <w:r w:rsidRPr="003F7D1B" w:rsidR="003B6F9D">
            <w:rPr>
              <w:rStyle w:val="Hyperlink"/>
            </w:rPr>
            <w:t>MK noteikumi</w:t>
          </w:r>
          <w:r w:rsidR="00F73A7F">
            <w:rPr>
              <w:rStyle w:val="Hyperlink"/>
            </w:rPr>
            <w:t xml:space="preserve"> par pasākumu īstenošanu</w:t>
          </w:r>
          <w:r>
            <w:tab/>
          </w:r>
          <w:r>
            <w:fldChar w:fldCharType="begin"/>
          </w:r>
          <w:r>
            <w:instrText xml:space="preserve"> PAGEREF _Toc256000047 \h </w:instrText>
          </w:r>
          <w:r>
            <w:fldChar w:fldCharType="separate"/>
          </w:r>
          <w:r>
            <w:t>42</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"_Toc256000048" </w:instrText>
          </w:r>
          <w:r>
            <w:fldChar w:fldCharType="separate"/>
          </w:r>
          <w:r>
            <w:rPr>
              <w:rStyle w:val="Hyperlink"/>
            </w:rPr>
            <w:t>3.2.1. </w:t>
          </w:r>
          <w:r w:rsidRPr="00486A70" w:rsidR="008A56D5">
            <w:rPr>
              <w:rStyle w:val="Hyperlink"/>
            </w:rPr>
            <w:t>MK noteikumi Nr. 34</w:t>
          </w:r>
          <w:r>
            <w:tab/>
          </w:r>
          <w:r>
            <w:fldChar w:fldCharType="begin"/>
          </w:r>
          <w:r>
            <w:instrText xml:space="preserve"> PAGEREF _Toc256000048 \h </w:instrText>
          </w:r>
          <w:r>
            <w:fldChar w:fldCharType="separate"/>
          </w:r>
          <w:r>
            <w:t>42</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"_Toc256000049" </w:instrText>
          </w:r>
          <w:r>
            <w:fldChar w:fldCharType="separate"/>
          </w:r>
          <w:r>
            <w:rPr>
              <w:rStyle w:val="Hyperlink"/>
            </w:rPr>
            <w:t>3.2.2. </w:t>
          </w:r>
          <w:r w:rsidR="00DC4431">
            <w:rPr>
              <w:rStyle w:val="Hyperlink"/>
            </w:rPr>
            <w:t>MK noteikumi Nr. 50</w:t>
          </w:r>
          <w:r>
            <w:tab/>
          </w:r>
          <w:r>
            <w:fldChar w:fldCharType="begin"/>
          </w:r>
          <w:r>
            <w:instrText xml:space="preserve"> PAGEREF _Toc256000049 \h </w:instrText>
          </w:r>
          <w:r>
            <w:fldChar w:fldCharType="separate"/>
          </w:r>
          <w:r>
            <w:t>45</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"_Toc256000050" </w:instrText>
          </w:r>
          <w:r>
            <w:fldChar w:fldCharType="separate"/>
          </w:r>
          <w:r>
            <w:rPr>
              <w:rStyle w:val="Hyperlink"/>
            </w:rPr>
            <w:t>3.3</w:t>
          </w:r>
          <w:r w:rsidR="00917115">
            <w:rPr>
              <w:rStyle w:val="Hyperlink"/>
            </w:rPr>
            <w:t>. Pētniecības projekta iesniegum</w:t>
          </w:r>
          <w:r>
            <w:rPr>
              <w:rStyle w:val="Hyperlink"/>
            </w:rPr>
            <w:t>s</w:t>
          </w:r>
          <w:r>
            <w:tab/>
          </w:r>
          <w:r>
            <w:fldChar w:fldCharType="begin"/>
          </w:r>
          <w:r>
            <w:instrText xml:space="preserve"> PAGEREF _Toc256000050 \h </w:instrText>
          </w:r>
          <w:r>
            <w:fldChar w:fldCharType="separate"/>
          </w:r>
          <w:r>
            <w:t>46</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"_Toc256000051" </w:instrText>
          </w:r>
          <w:r>
            <w:fldChar w:fldCharType="separate"/>
          </w:r>
          <w:r>
            <w:rPr>
              <w:rStyle w:val="Hyperlink"/>
            </w:rPr>
            <w:t>3</w:t>
          </w:r>
          <w:r w:rsidR="00A917FE">
            <w:rPr>
              <w:rStyle w:val="Hyperlink"/>
            </w:rPr>
            <w:t>.</w:t>
          </w:r>
          <w:r w:rsidR="00786649">
            <w:rPr>
              <w:rStyle w:val="Hyperlink"/>
            </w:rPr>
            <w:t>4</w:t>
          </w:r>
          <w:r w:rsidR="00A917FE">
            <w:rPr>
              <w:rStyle w:val="Hyperlink"/>
            </w:rPr>
            <w:t>. </w:t>
          </w:r>
          <w:r w:rsidR="00A7536A">
            <w:rPr>
              <w:rStyle w:val="Hyperlink"/>
            </w:rPr>
            <w:t>Papildu</w:t>
          </w:r>
          <w:r w:rsidR="004850F8">
            <w:rPr>
              <w:rStyle w:val="Hyperlink"/>
            </w:rPr>
            <w:t xml:space="preserve"> </w:t>
          </w:r>
          <w:r w:rsidR="00B01CBA">
            <w:rPr>
              <w:rStyle w:val="Hyperlink"/>
            </w:rPr>
            <w:t xml:space="preserve">nosacījumi SAM 1.1.1. pasākumu ieviešanas </w:t>
          </w:r>
          <w:r w:rsidR="00B01CBA">
            <w:rPr>
              <w:rStyle w:val="Hyperlink"/>
            </w:rPr>
            <w:t>uzlabojumiem</w:t>
          </w:r>
          <w:r>
            <w:tab/>
          </w:r>
          <w:r>
            <w:fldChar w:fldCharType="begin"/>
          </w:r>
          <w:r>
            <w:instrText xml:space="preserve"> PAGEREF _Toc256000051 \h </w:instrText>
          </w:r>
          <w:r>
            <w:fldChar w:fldCharType="separate"/>
          </w:r>
          <w:r>
            <w:t>47</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"_Toc256000052" </w:instrText>
          </w:r>
          <w:r>
            <w:fldChar w:fldCharType="separate"/>
          </w:r>
          <w:r>
            <w:rPr>
              <w:rStyle w:val="Hyperlink"/>
            </w:rPr>
            <w:t>4</w:t>
          </w:r>
          <w:r w:rsidR="004850F8">
            <w:rPr>
              <w:rStyle w:val="Hyperlink"/>
            </w:rPr>
            <w:t xml:space="preserve">. Pasākumu plāns </w:t>
          </w:r>
          <w:r w:rsidR="004850F8">
            <w:rPr>
              <w:rStyle w:val="Hyperlink"/>
            </w:rPr>
            <w:t>risku mazināšanai</w:t>
          </w:r>
          <w:r>
            <w:tab/>
          </w:r>
          <w:r>
            <w:fldChar w:fldCharType="begin"/>
          </w:r>
          <w:r>
            <w:instrText xml:space="preserve"> PAGEREF _Toc256000052 \h </w:instrText>
          </w:r>
          <w:r>
            <w:fldChar w:fldCharType="separate"/>
          </w:r>
          <w:r>
            <w:t>48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"_Toc256000053" </w:instrText>
          </w:r>
          <w:r>
            <w:fldChar w:fldCharType="separate"/>
          </w:r>
          <w:r>
            <w:rPr>
              <w:rStyle w:val="Hyperlink"/>
            </w:rPr>
            <w:t>Izmantotie saīsinājumi</w:t>
          </w:r>
          <w:r>
            <w:tab/>
          </w:r>
          <w:r>
            <w:fldChar w:fldCharType="begin"/>
          </w:r>
          <w:r>
            <w:instrText xml:space="preserve"> PAGEREF _Toc256000053 \h </w:instrText>
          </w:r>
          <w:r>
            <w:fldChar w:fldCharType="separate"/>
          </w:r>
          <w:r>
            <w:t>49</w:t>
          </w:r>
          <w:r>
            <w:fldChar w:fldCharType="end"/>
          </w:r>
          <w:r>
            <w:fldChar w:fldCharType="end"/>
          </w:r>
        </w:p>
        <w:p w:rsidRPr="00F77DD2">
          <w:pPr>
            <w:rPr>
              <w:b/>
            </w:rPr>
          </w:pPr>
          <w:r w:rsidRPr="00F77DD2">
            <w:rPr>
              <w:b/>
            </w:rPr>
            <w:fldChar w:fldCharType="end"/>
          </w:r>
        </w:p>
      </w:sdtContent>
    </w:sdt>
    <w:p w:rsidR="006B0DE1" w:rsidRPr="008E3F65" w14:paraId="7DE61F08" w14:textId="77777777">
      <w:pPr>
        <w:rPr>
          <w:rFonts w:eastAsia="Times New Roman" w:cs="Times New Roman"/>
          <w:b/>
          <w:bCs/>
          <w:szCs w:val="24"/>
          <w:lang w:eastAsia="lv-LV"/>
        </w:rPr>
      </w:pPr>
      <w:r w:rsidRPr="008E3F65">
        <w:rPr>
          <w:rFonts w:eastAsia="Times New Roman" w:cs="Times New Roman"/>
          <w:b/>
          <w:bCs/>
          <w:szCs w:val="24"/>
          <w:lang w:eastAsia="lv-LV"/>
        </w:rPr>
        <w:br w:type="page"/>
      </w:r>
    </w:p>
    <w:p w:rsidR="00756D7C" w:rsidRPr="008E3F65" w:rsidP="00EB77A4" w14:paraId="004161A8" w14:textId="77777777">
      <w:pPr>
        <w:pStyle w:val="Heading1"/>
      </w:pPr>
      <w:bookmarkStart w:id="4" w:name="_Toc494727594"/>
      <w:bookmarkStart w:id="5" w:name="_Toc499019507"/>
      <w:bookmarkStart w:id="6" w:name="_Toc505086363"/>
      <w:bookmarkStart w:id="7" w:name="_Toc256000001"/>
      <w:bookmarkStart w:id="8" w:name="_Toc256000028"/>
      <w:r w:rsidRPr="008E3F65">
        <w:t>IEVADS</w:t>
      </w:r>
      <w:bookmarkEnd w:id="8"/>
      <w:bookmarkEnd w:id="7"/>
      <w:bookmarkEnd w:id="4"/>
      <w:bookmarkEnd w:id="5"/>
      <w:bookmarkEnd w:id="6"/>
    </w:p>
    <w:p w:rsidR="00756D7C" w:rsidRPr="008E3F65" w:rsidP="00756D7C" w14:paraId="674C254C" w14:textId="77777777">
      <w:pPr>
        <w:spacing w:after="0"/>
        <w:rPr>
          <w:rFonts w:eastAsia="Times New Roman" w:cs="Times New Roman"/>
          <w:bCs/>
          <w:lang w:eastAsia="lv-LV"/>
        </w:rPr>
      </w:pPr>
    </w:p>
    <w:p w:rsidR="001814A6" w:rsidP="003C3B81" w14:paraId="6F3FC873" w14:textId="77777777">
      <w:pPr>
        <w:rPr>
          <w:lang w:eastAsia="lv-LV"/>
        </w:rPr>
      </w:pPr>
      <w:r w:rsidRPr="0027740F">
        <w:rPr>
          <w:lang w:eastAsia="lv-LV"/>
        </w:rPr>
        <w:t xml:space="preserve">Informatīvais ziņojums </w:t>
      </w:r>
      <w:r w:rsidR="00A26E0A">
        <w:rPr>
          <w:lang w:eastAsia="lv-LV"/>
        </w:rPr>
        <w:t>“</w:t>
      </w:r>
      <w:r w:rsidR="00DA0254">
        <w:rPr>
          <w:lang w:eastAsia="lv-LV"/>
        </w:rPr>
        <w:t>D</w:t>
      </w:r>
      <w:r w:rsidRPr="00F559D8" w:rsidR="0027740F">
        <w:rPr>
          <w:lang w:eastAsia="lv-LV"/>
        </w:rPr>
        <w:t xml:space="preserve">arbības programmas </w:t>
      </w:r>
      <w:r w:rsidR="00A26E0A">
        <w:rPr>
          <w:lang w:eastAsia="lv-LV"/>
        </w:rPr>
        <w:t>“</w:t>
      </w:r>
      <w:r w:rsidRPr="00F559D8" w:rsidR="0027740F">
        <w:rPr>
          <w:lang w:eastAsia="lv-LV"/>
        </w:rPr>
        <w:t>Izaugsme un nodarbinātība</w:t>
      </w:r>
      <w:r w:rsidR="00A26E0A">
        <w:rPr>
          <w:lang w:eastAsia="lv-LV"/>
        </w:rPr>
        <w:t>”</w:t>
      </w:r>
      <w:r w:rsidRPr="00F559D8" w:rsidR="0027740F">
        <w:rPr>
          <w:lang w:eastAsia="lv-LV"/>
        </w:rPr>
        <w:t xml:space="preserve"> 1.1.1.specifiskā atbalsta mērķa </w:t>
      </w:r>
      <w:r w:rsidR="00A26E0A">
        <w:rPr>
          <w:lang w:eastAsia="lv-LV"/>
        </w:rPr>
        <w:t>“</w:t>
      </w:r>
      <w:r w:rsidRPr="00F559D8" w:rsidR="0027740F">
        <w:rPr>
          <w:lang w:eastAsia="lv-LV"/>
        </w:rPr>
        <w:t>Palielināt Latvijas zinātnisko institūciju pētniecisko un inovatīvo kapacitāti un spēju piesaistīt ārējo finansējumu, ieguldot cilvēkresursos un infrastruktūrā</w:t>
      </w:r>
      <w:r w:rsidR="00A26E0A">
        <w:rPr>
          <w:lang w:eastAsia="lv-LV"/>
        </w:rPr>
        <w:t>”</w:t>
      </w:r>
      <w:r w:rsidRPr="00F559D8" w:rsidR="0027740F">
        <w:rPr>
          <w:lang w:eastAsia="lv-LV"/>
        </w:rPr>
        <w:t xml:space="preserve"> </w:t>
      </w:r>
      <w:r w:rsidR="00CE56BB">
        <w:rPr>
          <w:lang w:eastAsia="lv-LV"/>
        </w:rPr>
        <w:t xml:space="preserve">pasākumu </w:t>
      </w:r>
      <w:r w:rsidRPr="00F559D8" w:rsidR="0027740F">
        <w:rPr>
          <w:lang w:eastAsia="lv-LV"/>
        </w:rPr>
        <w:t xml:space="preserve">pirmās </w:t>
      </w:r>
      <w:r w:rsidR="00CE56BB">
        <w:rPr>
          <w:lang w:eastAsia="lv-LV"/>
        </w:rPr>
        <w:t xml:space="preserve">projektu iesniegumu atlases </w:t>
      </w:r>
      <w:r w:rsidRPr="00F559D8" w:rsidR="0027740F">
        <w:rPr>
          <w:lang w:eastAsia="lv-LV"/>
        </w:rPr>
        <w:t>kārtas rezultātu analīz</w:t>
      </w:r>
      <w:r w:rsidRPr="0027740F" w:rsidR="0027740F">
        <w:rPr>
          <w:lang w:eastAsia="lv-LV"/>
        </w:rPr>
        <w:t xml:space="preserve">e </w:t>
      </w:r>
      <w:r w:rsidRPr="00F559D8" w:rsidR="0027740F">
        <w:rPr>
          <w:lang w:eastAsia="lv-LV"/>
        </w:rPr>
        <w:t>un priekšlikumi turpmāko atlases kārtu saturiskiem un procedurāliem uzlabojumiem</w:t>
      </w:r>
      <w:r w:rsidR="00A26E0A">
        <w:rPr>
          <w:lang w:eastAsia="lv-LV"/>
        </w:rPr>
        <w:t>”</w:t>
      </w:r>
      <w:r w:rsidRPr="008E3F65">
        <w:rPr>
          <w:lang w:bidi="lo-LA"/>
        </w:rPr>
        <w:t xml:space="preserve"> </w:t>
      </w:r>
      <w:r w:rsidR="00CE56BB">
        <w:rPr>
          <w:lang w:bidi="lo-LA"/>
        </w:rPr>
        <w:t xml:space="preserve">(turpmāk – ziņojums) </w:t>
      </w:r>
      <w:r w:rsidR="003B6FE2">
        <w:rPr>
          <w:lang w:bidi="lo-LA"/>
        </w:rPr>
        <w:t xml:space="preserve">ir </w:t>
      </w:r>
      <w:r w:rsidRPr="008E3F65" w:rsidR="00215E19">
        <w:rPr>
          <w:lang w:eastAsia="lv-LV"/>
        </w:rPr>
        <w:t>izstrādāts</w:t>
      </w:r>
      <w:r w:rsidRPr="008E3F65" w:rsidR="003A093C">
        <w:rPr>
          <w:lang w:eastAsia="lv-LV"/>
        </w:rPr>
        <w:t xml:space="preserve"> atbilstoši</w:t>
      </w:r>
      <w:r>
        <w:rPr>
          <w:lang w:eastAsia="lv-LV"/>
        </w:rPr>
        <w:t>:</w:t>
      </w:r>
    </w:p>
    <w:p w:rsidR="001814A6" w:rsidP="003C3B81" w14:paraId="7CF9C4F5" w14:textId="77777777">
      <w:pPr>
        <w:rPr>
          <w:i/>
          <w:lang w:eastAsia="lv-LV"/>
        </w:rPr>
      </w:pPr>
      <w:r>
        <w:rPr>
          <w:lang w:eastAsia="lv-LV"/>
        </w:rPr>
        <w:t xml:space="preserve">1. </w:t>
      </w:r>
      <w:r w:rsidRPr="008E3F65" w:rsidR="00636EF4">
        <w:rPr>
          <w:lang w:eastAsia="lv-LV"/>
        </w:rPr>
        <w:t>Ministru</w:t>
      </w:r>
      <w:r w:rsidRPr="008E3F65" w:rsidR="00215E19">
        <w:rPr>
          <w:lang w:eastAsia="lv-LV"/>
        </w:rPr>
        <w:t xml:space="preserve"> kabineta 201</w:t>
      </w:r>
      <w:r w:rsidR="00F559D8">
        <w:rPr>
          <w:lang w:eastAsia="lv-LV"/>
        </w:rPr>
        <w:t>6</w:t>
      </w:r>
      <w:r w:rsidRPr="008E3F65" w:rsidR="00215E19">
        <w:rPr>
          <w:lang w:eastAsia="lv-LV"/>
        </w:rPr>
        <w:t xml:space="preserve">.gada </w:t>
      </w:r>
      <w:r w:rsidR="00F559D8">
        <w:rPr>
          <w:lang w:eastAsia="lv-LV"/>
        </w:rPr>
        <w:t>8</w:t>
      </w:r>
      <w:r w:rsidRPr="008E3F65" w:rsidR="00215E19">
        <w:rPr>
          <w:lang w:eastAsia="lv-LV"/>
        </w:rPr>
        <w:t>.</w:t>
      </w:r>
      <w:r w:rsidR="00F559D8">
        <w:rPr>
          <w:lang w:eastAsia="lv-LV"/>
        </w:rPr>
        <w:t>nove</w:t>
      </w:r>
      <w:r w:rsidR="00524660">
        <w:rPr>
          <w:lang w:eastAsia="lv-LV"/>
        </w:rPr>
        <w:t>m</w:t>
      </w:r>
      <w:r w:rsidR="00F559D8">
        <w:rPr>
          <w:lang w:eastAsia="lv-LV"/>
        </w:rPr>
        <w:t xml:space="preserve">bra </w:t>
      </w:r>
      <w:r w:rsidRPr="003A0121" w:rsidR="00F559D8">
        <w:rPr>
          <w:lang w:eastAsia="lv-LV"/>
        </w:rPr>
        <w:t>sēdes protokollēmuma (</w:t>
      </w:r>
      <w:r w:rsidRPr="003A0121" w:rsidR="005C452E">
        <w:rPr>
          <w:lang w:eastAsia="lv-LV"/>
        </w:rPr>
        <w:t>prot</w:t>
      </w:r>
      <w:r w:rsidRPr="003A0121" w:rsidR="005C435F">
        <w:rPr>
          <w:lang w:eastAsia="lv-LV"/>
        </w:rPr>
        <w:t>.</w:t>
      </w:r>
      <w:r w:rsidRPr="003A0121" w:rsidR="005C452E">
        <w:rPr>
          <w:lang w:eastAsia="lv-LV"/>
        </w:rPr>
        <w:t xml:space="preserve"> Nr.60 60.§) </w:t>
      </w:r>
      <w:r w:rsidR="00A26E0A">
        <w:rPr>
          <w:lang w:eastAsia="lv-LV"/>
        </w:rPr>
        <w:t>“</w:t>
      </w:r>
      <w:r w:rsidRPr="003A0121" w:rsidR="005C452E">
        <w:rPr>
          <w:lang w:eastAsia="lv-LV"/>
        </w:rPr>
        <w:t xml:space="preserve">Informatīvais ziņojums </w:t>
      </w:r>
      <w:r w:rsidR="00A26E0A">
        <w:rPr>
          <w:lang w:eastAsia="lv-LV"/>
        </w:rPr>
        <w:t>“</w:t>
      </w:r>
      <w:r w:rsidRPr="003A0121" w:rsidR="005C452E">
        <w:rPr>
          <w:lang w:eastAsia="lv-LV"/>
        </w:rPr>
        <w:t>Par papildu finansējuma piešķiršanu praktiskās pētniecības projektu atbalstam</w:t>
      </w:r>
      <w:r w:rsidR="00A26E0A">
        <w:rPr>
          <w:lang w:eastAsia="lv-LV"/>
        </w:rPr>
        <w:t>”“</w:t>
      </w:r>
      <w:r w:rsidRPr="003A0121" w:rsidR="005C452E">
        <w:rPr>
          <w:lang w:eastAsia="lv-LV"/>
        </w:rPr>
        <w:t xml:space="preserve"> 4.punktā dotajam uzdevumam</w:t>
      </w:r>
      <w:r w:rsidRPr="003A0121" w:rsidR="003A093C">
        <w:rPr>
          <w:lang w:eastAsia="lv-LV"/>
        </w:rPr>
        <w:t xml:space="preserve"> – </w:t>
      </w:r>
      <w:r w:rsidR="00A26E0A">
        <w:rPr>
          <w:lang w:eastAsia="lv-LV"/>
        </w:rPr>
        <w:t>“</w:t>
      </w:r>
      <w:r w:rsidRPr="001814A6" w:rsidR="005C452E">
        <w:rPr>
          <w:i/>
          <w:lang w:eastAsia="lv-LV"/>
        </w:rPr>
        <w:t xml:space="preserve">Izglītības un zinātnes ministrijai pirms nākamās atlases kārtas izsludināšanas sagatavot ziņojumu ar pirmās kārtas atlases rezultātu analīzi un priekšlikumiem turpmāko atlases kārtu saturiskiem un procedurāliem uzlabojumiem, t.sk. iekļaujot informāciju par priekšlikumiem, kas radušies </w:t>
      </w:r>
      <w:r w:rsidRPr="001814A6" w:rsidR="00CB20CC">
        <w:rPr>
          <w:i/>
          <w:lang w:eastAsia="lv-LV"/>
        </w:rPr>
        <w:t xml:space="preserve">Latvijas </w:t>
      </w:r>
      <w:r w:rsidRPr="001814A6" w:rsidR="005C452E">
        <w:rPr>
          <w:i/>
          <w:lang w:eastAsia="lv-LV"/>
        </w:rPr>
        <w:t xml:space="preserve">Viedās specializācijas stratēģijas </w:t>
      </w:r>
      <w:r w:rsidRPr="001814A6" w:rsidR="00CB20CC">
        <w:rPr>
          <w:i/>
          <w:lang w:eastAsia="lv-LV"/>
        </w:rPr>
        <w:t>(turpmāk –</w:t>
      </w:r>
      <w:r w:rsidRPr="001814A6" w:rsidR="00CB20CC">
        <w:rPr>
          <w:i/>
        </w:rPr>
        <w:t xml:space="preserve">RIS3) </w:t>
      </w:r>
      <w:r w:rsidRPr="001814A6" w:rsidR="005C452E">
        <w:rPr>
          <w:i/>
          <w:lang w:eastAsia="lv-LV"/>
        </w:rPr>
        <w:t>monitoringa procesā un tematiskajās diskusijās</w:t>
      </w:r>
      <w:r w:rsidR="00A26E0A">
        <w:rPr>
          <w:lang w:eastAsia="lv-LV"/>
        </w:rPr>
        <w:t>”</w:t>
      </w:r>
      <w:r>
        <w:rPr>
          <w:i/>
          <w:lang w:eastAsia="lv-LV"/>
        </w:rPr>
        <w:t>;</w:t>
      </w:r>
    </w:p>
    <w:p w:rsidR="00215E19" w:rsidP="003C3B81" w14:paraId="1505DB79" w14:textId="77777777">
      <w:pPr>
        <w:rPr>
          <w:lang w:eastAsia="lv-LV"/>
        </w:rPr>
      </w:pPr>
      <w:r w:rsidRPr="001814A6">
        <w:rPr>
          <w:lang w:eastAsia="lv-LV"/>
        </w:rPr>
        <w:t>2</w:t>
      </w:r>
      <w:r>
        <w:rPr>
          <w:i/>
          <w:lang w:eastAsia="lv-LV"/>
        </w:rPr>
        <w:t xml:space="preserve">. </w:t>
      </w:r>
      <w:r>
        <w:rPr>
          <w:lang w:eastAsia="lv-LV"/>
        </w:rPr>
        <w:t xml:space="preserve">Izglītības un zinātnes ministrijas (turpmāk – IZM) un Ekonomikas ministrijas </w:t>
      </w:r>
      <w:r w:rsidRPr="001814A6">
        <w:rPr>
          <w:lang w:eastAsia="lv-LV"/>
        </w:rPr>
        <w:t>izstrādā</w:t>
      </w:r>
      <w:r w:rsidR="00937E17">
        <w:rPr>
          <w:lang w:eastAsia="lv-LV"/>
        </w:rPr>
        <w:t>t</w:t>
      </w:r>
      <w:r w:rsidR="0042349A">
        <w:rPr>
          <w:lang w:eastAsia="lv-LV"/>
        </w:rPr>
        <w:t>ajā</w:t>
      </w:r>
      <w:r w:rsidR="00937E17">
        <w:rPr>
          <w:lang w:eastAsia="lv-LV"/>
        </w:rPr>
        <w:t xml:space="preserve"> </w:t>
      </w:r>
      <w:r>
        <w:rPr>
          <w:lang w:eastAsia="lv-LV"/>
        </w:rPr>
        <w:t>informatīv</w:t>
      </w:r>
      <w:r w:rsidR="0042349A">
        <w:rPr>
          <w:lang w:eastAsia="lv-LV"/>
        </w:rPr>
        <w:t>ajā</w:t>
      </w:r>
      <w:r>
        <w:rPr>
          <w:lang w:eastAsia="lv-LV"/>
        </w:rPr>
        <w:t xml:space="preserve"> </w:t>
      </w:r>
      <w:r w:rsidR="0042349A">
        <w:rPr>
          <w:lang w:eastAsia="lv-LV"/>
        </w:rPr>
        <w:t>ziņojumā “</w:t>
      </w:r>
      <w:r>
        <w:rPr>
          <w:lang w:eastAsia="lv-LV"/>
        </w:rPr>
        <w:t>Viedās specializācijas stratēģijas monitorings</w:t>
      </w:r>
      <w:r w:rsidR="00A26E0A">
        <w:rPr>
          <w:lang w:eastAsia="lv-LV"/>
        </w:rPr>
        <w:t>”</w:t>
      </w:r>
      <w:r>
        <w:rPr>
          <w:lang w:eastAsia="lv-LV"/>
        </w:rPr>
        <w:t xml:space="preserve"> (VSS-621) ietvert</w:t>
      </w:r>
      <w:r w:rsidR="00937E17">
        <w:rPr>
          <w:lang w:eastAsia="lv-LV"/>
        </w:rPr>
        <w:t>ajam</w:t>
      </w:r>
      <w:r>
        <w:rPr>
          <w:lang w:eastAsia="lv-LV"/>
        </w:rPr>
        <w:t xml:space="preserve"> pasākumu plān</w:t>
      </w:r>
      <w:r w:rsidR="00937E17">
        <w:rPr>
          <w:lang w:eastAsia="lv-LV"/>
        </w:rPr>
        <w:t xml:space="preserve">am </w:t>
      </w:r>
      <w:r w:rsidRPr="00937E17" w:rsidR="00937E17">
        <w:rPr>
          <w:lang w:eastAsia="lv-LV"/>
        </w:rPr>
        <w:t>ekonomikas izaugsmes nodrošināšanai</w:t>
      </w:r>
      <w:r w:rsidR="00937E17">
        <w:rPr>
          <w:rFonts w:ascii="Candara" w:eastAsia="Times New Roman" w:hAnsi="Candara"/>
          <w:lang w:eastAsia="lv-LV"/>
        </w:rPr>
        <w:t xml:space="preserve"> </w:t>
      </w:r>
      <w:r w:rsidRPr="00937E17" w:rsidR="00937E17">
        <w:rPr>
          <w:lang w:eastAsia="lv-LV"/>
        </w:rPr>
        <w:t>šādos virzienos:</w:t>
      </w:r>
      <w:r w:rsidR="00937E17">
        <w:rPr>
          <w:rFonts w:ascii="Candara" w:eastAsia="Times New Roman" w:hAnsi="Candara"/>
          <w:lang w:eastAsia="lv-LV"/>
        </w:rPr>
        <w:t xml:space="preserve"> </w:t>
      </w:r>
      <w:r w:rsidR="00A26E0A">
        <w:rPr>
          <w:lang w:eastAsia="lv-LV"/>
        </w:rPr>
        <w:t>“</w:t>
      </w:r>
      <w:r w:rsidRPr="00937E17" w:rsidR="00937E17">
        <w:rPr>
          <w:lang w:eastAsia="lv-LV"/>
        </w:rPr>
        <w:t>Inovāciju sistēmas pilnveide</w:t>
      </w:r>
      <w:r w:rsidR="00A26E0A">
        <w:rPr>
          <w:lang w:eastAsia="lv-LV"/>
        </w:rPr>
        <w:t>”</w:t>
      </w:r>
      <w:r w:rsidRPr="00937E17" w:rsidR="00937E17">
        <w:rPr>
          <w:lang w:eastAsia="lv-LV"/>
        </w:rPr>
        <w:t xml:space="preserve"> un </w:t>
      </w:r>
      <w:r w:rsidR="00A26E0A">
        <w:rPr>
          <w:lang w:eastAsia="lv-LV"/>
        </w:rPr>
        <w:t>“</w:t>
      </w:r>
      <w:r w:rsidRPr="00937E17" w:rsidR="00937E17">
        <w:rPr>
          <w:lang w:eastAsia="lv-LV"/>
        </w:rPr>
        <w:t>Cilvēkkapitāla attīstība</w:t>
      </w:r>
      <w:r w:rsidR="00A26E0A">
        <w:rPr>
          <w:lang w:eastAsia="lv-LV"/>
        </w:rPr>
        <w:t>”</w:t>
      </w:r>
      <w:r w:rsidR="00937E17">
        <w:rPr>
          <w:lang w:eastAsia="lv-LV"/>
        </w:rPr>
        <w:t>.</w:t>
      </w:r>
      <w:r w:rsidR="00937E17">
        <w:rPr>
          <w:rFonts w:ascii="Candara" w:eastAsia="Times New Roman" w:hAnsi="Candara"/>
          <w:lang w:eastAsia="lv-LV"/>
        </w:rPr>
        <w:t xml:space="preserve"> </w:t>
      </w:r>
    </w:p>
    <w:p w:rsidR="003C3B81" w:rsidP="003C3B81" w14:paraId="1CC17D29" w14:textId="77777777">
      <w:pPr>
        <w:rPr>
          <w:lang w:eastAsia="lv-LV"/>
        </w:rPr>
      </w:pPr>
      <w:r>
        <w:rPr>
          <w:lang w:eastAsia="lv-LV"/>
        </w:rPr>
        <w:t>Ņemot vērā, ka d</w:t>
      </w:r>
      <w:r w:rsidRPr="00F559D8" w:rsidR="00A6532B">
        <w:rPr>
          <w:lang w:eastAsia="lv-LV"/>
        </w:rPr>
        <w:t xml:space="preserve">arbības programmas </w:t>
      </w:r>
      <w:r w:rsidR="00A26E0A">
        <w:rPr>
          <w:lang w:eastAsia="lv-LV"/>
        </w:rPr>
        <w:t>“</w:t>
      </w:r>
      <w:r w:rsidRPr="00F559D8" w:rsidR="00A6532B">
        <w:rPr>
          <w:lang w:eastAsia="lv-LV"/>
        </w:rPr>
        <w:t>Izaugsme un nodarbinātība</w:t>
      </w:r>
      <w:r w:rsidR="00A26E0A">
        <w:rPr>
          <w:lang w:eastAsia="lv-LV"/>
        </w:rPr>
        <w:t>”</w:t>
      </w:r>
      <w:r w:rsidRPr="00F559D8" w:rsidR="00A6532B">
        <w:rPr>
          <w:lang w:eastAsia="lv-LV"/>
        </w:rPr>
        <w:t xml:space="preserve"> </w:t>
      </w:r>
      <w:r w:rsidR="00A6532B">
        <w:rPr>
          <w:lang w:eastAsia="lv-LV"/>
        </w:rPr>
        <w:t xml:space="preserve">(turpmāk – DP) </w:t>
      </w:r>
      <w:r w:rsidRPr="00F559D8" w:rsidR="00A6532B">
        <w:rPr>
          <w:lang w:eastAsia="lv-LV"/>
        </w:rPr>
        <w:t>1.1.1.specifiskā atbalsta mērķ</w:t>
      </w:r>
      <w:r w:rsidR="000166FC">
        <w:rPr>
          <w:lang w:eastAsia="lv-LV"/>
        </w:rPr>
        <w:t>a</w:t>
      </w:r>
      <w:r w:rsidRPr="00F559D8" w:rsidR="00A6532B">
        <w:rPr>
          <w:lang w:eastAsia="lv-LV"/>
        </w:rPr>
        <w:t xml:space="preserve"> </w:t>
      </w:r>
      <w:r w:rsidR="00A26E0A">
        <w:rPr>
          <w:lang w:eastAsia="lv-LV"/>
        </w:rPr>
        <w:t>“</w:t>
      </w:r>
      <w:r w:rsidRPr="00F559D8" w:rsidR="00A6532B">
        <w:rPr>
          <w:lang w:eastAsia="lv-LV"/>
        </w:rPr>
        <w:t>Palielināt Latvijas zinātnisko institūciju pētniecisko un inovatīvo kapacitāti un spēju piesaistīt ārējo finansējumu, ieguldot cilvēkresursos un infrastruktūrā</w:t>
      </w:r>
      <w:r w:rsidR="00A26E0A">
        <w:rPr>
          <w:lang w:eastAsia="lv-LV"/>
        </w:rPr>
        <w:t>”</w:t>
      </w:r>
      <w:r w:rsidR="00A6532B">
        <w:rPr>
          <w:lang w:eastAsia="lv-LV"/>
        </w:rPr>
        <w:t xml:space="preserve"> (turpmāk – </w:t>
      </w:r>
      <w:r w:rsidR="00E24BFE">
        <w:rPr>
          <w:lang w:eastAsia="lv-LV"/>
        </w:rPr>
        <w:t>SAM 1.1.1.</w:t>
      </w:r>
      <w:r w:rsidR="00A6532B">
        <w:rPr>
          <w:lang w:eastAsia="lv-LV"/>
        </w:rPr>
        <w:t>)</w:t>
      </w:r>
      <w:r w:rsidR="00E24BFE">
        <w:rPr>
          <w:lang w:eastAsia="lv-LV"/>
        </w:rPr>
        <w:t xml:space="preserve"> </w:t>
      </w:r>
      <w:r w:rsidR="000166FC">
        <w:rPr>
          <w:lang w:eastAsia="lv-LV"/>
        </w:rPr>
        <w:t xml:space="preserve">rezultāta un iznākuma rādītāji </w:t>
      </w:r>
      <w:r w:rsidR="00CE56BB">
        <w:rPr>
          <w:lang w:eastAsia="lv-LV"/>
        </w:rPr>
        <w:t xml:space="preserve">sniedz </w:t>
      </w:r>
      <w:r w:rsidR="00175402">
        <w:rPr>
          <w:lang w:eastAsia="lv-LV"/>
        </w:rPr>
        <w:t>tiešu</w:t>
      </w:r>
      <w:r w:rsidR="00CE56BB">
        <w:rPr>
          <w:lang w:eastAsia="lv-LV"/>
        </w:rPr>
        <w:t xml:space="preserve"> ieguldījumu </w:t>
      </w:r>
      <w:r w:rsidRPr="00AF788A" w:rsidR="00AF788A">
        <w:rPr>
          <w:lang w:eastAsia="lv-LV"/>
        </w:rPr>
        <w:t>Latvijas Viedās specializācijas stratēģij</w:t>
      </w:r>
      <w:r w:rsidR="00AF788A">
        <w:rPr>
          <w:lang w:eastAsia="lv-LV"/>
        </w:rPr>
        <w:t>as</w:t>
      </w:r>
      <w:r w:rsidRPr="00AF788A" w:rsidR="00AF788A">
        <w:rPr>
          <w:lang w:eastAsia="lv-LV"/>
        </w:rPr>
        <w:t xml:space="preserve"> (</w:t>
      </w:r>
      <w:r w:rsidR="00AF788A">
        <w:rPr>
          <w:lang w:eastAsia="lv-LV"/>
        </w:rPr>
        <w:t xml:space="preserve">turpmāk – </w:t>
      </w:r>
      <w:r w:rsidRPr="00AF788A" w:rsidR="00AF788A">
        <w:rPr>
          <w:lang w:eastAsia="lv-LV"/>
        </w:rPr>
        <w:t xml:space="preserve">RIS3) </w:t>
      </w:r>
      <w:r w:rsidR="00CE56BB">
        <w:rPr>
          <w:lang w:eastAsia="lv-LV"/>
        </w:rPr>
        <w:t>mērķu sasniegšanā</w:t>
      </w:r>
      <w:r w:rsidRPr="00D7176A" w:rsidR="00D7176A">
        <w:rPr>
          <w:lang w:eastAsia="lv-LV"/>
        </w:rPr>
        <w:t>,</w:t>
      </w:r>
      <w:r w:rsidR="00D7176A">
        <w:rPr>
          <w:lang w:eastAsia="lv-LV"/>
        </w:rPr>
        <w:t xml:space="preserve"> </w:t>
      </w:r>
      <w:r w:rsidR="00551C37">
        <w:rPr>
          <w:lang w:eastAsia="lv-LV"/>
        </w:rPr>
        <w:t xml:space="preserve">kas vērsti uz </w:t>
      </w:r>
      <w:r w:rsidRPr="000166FC" w:rsidR="00551C37">
        <w:t>Latvijas tautsaimniecības inovācijas kapacitātes</w:t>
      </w:r>
      <w:r w:rsidR="00551C37">
        <w:t xml:space="preserve"> palielināšanu</w:t>
      </w:r>
      <w:r>
        <w:t xml:space="preserve">, </w:t>
      </w:r>
      <w:r w:rsidR="006B6D16">
        <w:rPr>
          <w:lang w:eastAsia="lv-LV"/>
        </w:rPr>
        <w:t xml:space="preserve">ziņojumā ietverta informācija par </w:t>
      </w:r>
      <w:r w:rsidR="00DB0237">
        <w:rPr>
          <w:lang w:eastAsia="lv-LV"/>
        </w:rPr>
        <w:t xml:space="preserve">SAM 1.1.1. </w:t>
      </w:r>
      <w:r>
        <w:rPr>
          <w:lang w:eastAsia="lv-LV"/>
        </w:rPr>
        <w:t>pirm</w:t>
      </w:r>
      <w:r w:rsidR="00DB0237">
        <w:rPr>
          <w:lang w:eastAsia="lv-LV"/>
        </w:rPr>
        <w:t>ajās</w:t>
      </w:r>
      <w:r>
        <w:rPr>
          <w:lang w:eastAsia="lv-LV"/>
        </w:rPr>
        <w:t xml:space="preserve"> projektu iesniegumu atlases kārtā</w:t>
      </w:r>
      <w:r w:rsidR="00DB0237">
        <w:rPr>
          <w:lang w:eastAsia="lv-LV"/>
        </w:rPr>
        <w:t>s</w:t>
      </w:r>
      <w:r>
        <w:rPr>
          <w:lang w:eastAsia="lv-LV"/>
        </w:rPr>
        <w:t xml:space="preserve"> </w:t>
      </w:r>
      <w:r w:rsidR="00F00596">
        <w:rPr>
          <w:lang w:eastAsia="lv-LV"/>
        </w:rPr>
        <w:t xml:space="preserve">(turpmāk – pirmā kārta) </w:t>
      </w:r>
      <w:r w:rsidR="006B6D16">
        <w:rPr>
          <w:lang w:eastAsia="lv-LV"/>
        </w:rPr>
        <w:t xml:space="preserve">gūto pieredzi un sniegti priekšlikumi saturiskām un procedurālām </w:t>
      </w:r>
      <w:r>
        <w:rPr>
          <w:lang w:eastAsia="lv-LV"/>
        </w:rPr>
        <w:t xml:space="preserve">izmaiņām </w:t>
      </w:r>
      <w:r w:rsidR="00BD7FF5">
        <w:rPr>
          <w:lang w:eastAsia="lv-LV"/>
        </w:rPr>
        <w:t>šād</w:t>
      </w:r>
      <w:r w:rsidR="006B6D16">
        <w:rPr>
          <w:lang w:eastAsia="lv-LV"/>
        </w:rPr>
        <w:t>u</w:t>
      </w:r>
      <w:r w:rsidR="00BD7FF5">
        <w:rPr>
          <w:lang w:eastAsia="lv-LV"/>
        </w:rPr>
        <w:t xml:space="preserve"> </w:t>
      </w:r>
      <w:r>
        <w:rPr>
          <w:lang w:eastAsia="lv-LV"/>
        </w:rPr>
        <w:t xml:space="preserve">SAM 1.1.1. </w:t>
      </w:r>
      <w:r w:rsidR="00CE56BB">
        <w:rPr>
          <w:lang w:eastAsia="lv-LV"/>
        </w:rPr>
        <w:t>pasākum</w:t>
      </w:r>
      <w:r w:rsidR="006B6D16">
        <w:rPr>
          <w:lang w:eastAsia="lv-LV"/>
        </w:rPr>
        <w:t>u</w:t>
      </w:r>
      <w:r w:rsidR="00BD7FF5">
        <w:rPr>
          <w:lang w:eastAsia="lv-LV"/>
        </w:rPr>
        <w:t xml:space="preserve"> (turpmāk – SAM 1.1.1. pasākumi)</w:t>
      </w:r>
      <w:r w:rsidR="006B6D16">
        <w:rPr>
          <w:lang w:eastAsia="lv-LV"/>
        </w:rPr>
        <w:t xml:space="preserve"> ietvaros</w:t>
      </w:r>
      <w:r>
        <w:rPr>
          <w:lang w:eastAsia="lv-LV"/>
        </w:rPr>
        <w:t>:</w:t>
      </w:r>
    </w:p>
    <w:p w:rsidR="003C3B81" w:rsidP="00124CD6" w14:paraId="45EB5D52" w14:textId="35E8431D">
      <w:pPr>
        <w:pStyle w:val="BulletF"/>
      </w:pPr>
      <w:r w:rsidRPr="00991C41">
        <w:t>1.1.1.1. pasākum</w:t>
      </w:r>
      <w:r>
        <w:t>s</w:t>
      </w:r>
      <w:r w:rsidRPr="00991C41">
        <w:t xml:space="preserve"> </w:t>
      </w:r>
      <w:r w:rsidR="00A26E0A">
        <w:t>“</w:t>
      </w:r>
      <w:r w:rsidRPr="00991C41">
        <w:t>Praktisk</w:t>
      </w:r>
      <w:r w:rsidR="001D50F6">
        <w:t>a</w:t>
      </w:r>
      <w:r w:rsidRPr="00991C41">
        <w:t>s ievirzes pētījumi</w:t>
      </w:r>
      <w:r w:rsidR="00A26E0A">
        <w:t>”</w:t>
      </w:r>
      <w:r w:rsidRPr="00991C41">
        <w:t xml:space="preserve"> (turpmāk – 1.1.1.1. pasākums</w:t>
      </w:r>
      <w:r w:rsidR="005A6EAB">
        <w:t>; Praktiskas ievirzes pētījumi</w:t>
      </w:r>
      <w:r w:rsidRPr="00991C41">
        <w:t>)</w:t>
      </w:r>
      <w:r>
        <w:t>;</w:t>
      </w:r>
    </w:p>
    <w:p w:rsidR="003C3B81" w:rsidRPr="00175402" w:rsidP="00124CD6" w14:paraId="7167DAF1" w14:textId="77777777">
      <w:pPr>
        <w:pStyle w:val="BulletF"/>
        <w:rPr>
          <w:rFonts w:eastAsia="Times New Roman"/>
          <w:bCs/>
          <w:lang w:eastAsia="lv-LV"/>
        </w:rPr>
      </w:pPr>
      <w:r>
        <w:rPr>
          <w:rFonts w:eastAsia="Times New Roman"/>
          <w:bCs/>
          <w:lang w:eastAsia="lv-LV"/>
        </w:rPr>
        <w:t xml:space="preserve">1.1.1.2. pasākums </w:t>
      </w:r>
      <w:r w:rsidR="00A26E0A">
        <w:t>“</w:t>
      </w:r>
      <w:r w:rsidRPr="00991C41">
        <w:t>Pēcdoktorantūras pētniecības atbalsts</w:t>
      </w:r>
      <w:r w:rsidR="00A26E0A">
        <w:t>”</w:t>
      </w:r>
      <w:r w:rsidRPr="00991C41">
        <w:t xml:space="preserve"> (turpmāk – 1.1.1.</w:t>
      </w:r>
      <w:r>
        <w:t>2</w:t>
      </w:r>
      <w:r w:rsidRPr="00991C41">
        <w:t>. pasākums)</w:t>
      </w:r>
      <w:r>
        <w:t>.</w:t>
      </w:r>
    </w:p>
    <w:p w:rsidR="00175402" w:rsidP="007854D0" w14:paraId="38474CAF" w14:textId="77777777">
      <w:pPr>
        <w:rPr>
          <w:rFonts w:eastAsia="Times New Roman"/>
          <w:bCs/>
        </w:rPr>
      </w:pPr>
      <w:r>
        <w:rPr>
          <w:rFonts w:eastAsia="Times New Roman"/>
          <w:bCs/>
        </w:rPr>
        <w:t xml:space="preserve">Ziņojumā raksturota SAM 1.1.1. pasākumu </w:t>
      </w:r>
      <w:r>
        <w:t xml:space="preserve">īstenošanas gaita, </w:t>
      </w:r>
      <w:r w:rsidR="00551C37">
        <w:t>analizēts</w:t>
      </w:r>
      <w:r>
        <w:t xml:space="preserve"> rādītāju izpildes progres</w:t>
      </w:r>
      <w:r w:rsidR="00551C37">
        <w:t>s</w:t>
      </w:r>
      <w:r>
        <w:t xml:space="preserve"> un sniegti priekšlikumi, lai sekmētu SAM 1.1.1. rezultāta un iznākuma rādītāju izpildi.</w:t>
      </w:r>
    </w:p>
    <w:p w:rsidR="00215E19" w:rsidRPr="00A6532B" w:rsidP="007854D0" w14:paraId="2255963D" w14:textId="77777777">
      <w:pPr>
        <w:rPr>
          <w:rFonts w:eastAsia="Times New Roman" w:cs="Times New Roman"/>
          <w:bCs/>
          <w:highlight w:val="yellow"/>
          <w:lang w:eastAsia="lv-LV"/>
        </w:rPr>
      </w:pPr>
      <w:r w:rsidRPr="00E24BFE">
        <w:rPr>
          <w:rFonts w:eastAsia="Times New Roman" w:cs="Times New Roman"/>
          <w:bCs/>
          <w:lang w:eastAsia="lv-LV"/>
        </w:rPr>
        <w:t xml:space="preserve">Izstrādājot ziņojumu, </w:t>
      </w:r>
      <w:r w:rsidRPr="00E24BFE" w:rsidR="00160A95">
        <w:rPr>
          <w:rFonts w:eastAsia="Times New Roman" w:cs="Times New Roman"/>
          <w:bCs/>
          <w:lang w:eastAsia="lv-LV"/>
        </w:rPr>
        <w:t xml:space="preserve">ņemti vērā </w:t>
      </w:r>
      <w:r w:rsidRPr="00E24BFE" w:rsidR="00937E17">
        <w:rPr>
          <w:rFonts w:eastAsia="Times New Roman" w:cs="Times New Roman"/>
          <w:bCs/>
          <w:lang w:eastAsia="lv-LV"/>
        </w:rPr>
        <w:t>Centrālās finanšu un līgumu aģentūra</w:t>
      </w:r>
      <w:r w:rsidR="00937E17">
        <w:rPr>
          <w:rFonts w:eastAsia="Times New Roman" w:cs="Times New Roman"/>
          <w:bCs/>
          <w:lang w:eastAsia="lv-LV"/>
        </w:rPr>
        <w:t>s</w:t>
      </w:r>
      <w:r w:rsidRPr="00E24BFE" w:rsidR="00937E17">
        <w:rPr>
          <w:rFonts w:eastAsia="Times New Roman" w:cs="Times New Roman"/>
          <w:bCs/>
          <w:lang w:eastAsia="lv-LV"/>
        </w:rPr>
        <w:t xml:space="preserve"> (CFLA), </w:t>
      </w:r>
      <w:r w:rsidR="004565A1">
        <w:rPr>
          <w:rFonts w:eastAsia="Times New Roman" w:cs="Times New Roman"/>
          <w:bCs/>
          <w:lang w:eastAsia="lv-LV"/>
        </w:rPr>
        <w:t>IZM</w:t>
      </w:r>
      <w:r w:rsidR="00937E17">
        <w:rPr>
          <w:rFonts w:eastAsia="Times New Roman" w:cs="Times New Roman"/>
          <w:bCs/>
          <w:lang w:eastAsia="lv-LV"/>
        </w:rPr>
        <w:t xml:space="preserve">, </w:t>
      </w:r>
      <w:r w:rsidRPr="00E24BFE" w:rsidR="00937E17">
        <w:rPr>
          <w:rFonts w:eastAsia="Times New Roman" w:cs="Times New Roman"/>
          <w:bCs/>
          <w:lang w:eastAsia="lv-LV"/>
        </w:rPr>
        <w:t>Latvijas Jauno zinātnieku apvienība</w:t>
      </w:r>
      <w:r w:rsidR="00937E17">
        <w:rPr>
          <w:rFonts w:eastAsia="Times New Roman" w:cs="Times New Roman"/>
          <w:bCs/>
          <w:lang w:eastAsia="lv-LV"/>
        </w:rPr>
        <w:t>s</w:t>
      </w:r>
      <w:r w:rsidRPr="00E24BFE" w:rsidR="00937E17">
        <w:rPr>
          <w:rFonts w:eastAsia="Times New Roman" w:cs="Times New Roman"/>
          <w:bCs/>
          <w:lang w:eastAsia="lv-LV"/>
        </w:rPr>
        <w:t>, Valsts izglītības attīstības aģentūra</w:t>
      </w:r>
      <w:r w:rsidR="00937E17">
        <w:rPr>
          <w:rFonts w:eastAsia="Times New Roman" w:cs="Times New Roman"/>
          <w:bCs/>
          <w:lang w:eastAsia="lv-LV"/>
        </w:rPr>
        <w:t>s</w:t>
      </w:r>
      <w:r w:rsidR="00A0493B">
        <w:rPr>
          <w:rFonts w:eastAsia="Times New Roman" w:cs="Times New Roman"/>
          <w:bCs/>
          <w:lang w:eastAsia="lv-LV"/>
        </w:rPr>
        <w:t xml:space="preserve"> (VIAA)</w:t>
      </w:r>
      <w:r w:rsidRPr="00E24BFE" w:rsidR="00937E17">
        <w:rPr>
          <w:rFonts w:eastAsia="Times New Roman" w:cs="Times New Roman"/>
          <w:bCs/>
          <w:lang w:eastAsia="lv-LV"/>
        </w:rPr>
        <w:t>, Veselības ministrija</w:t>
      </w:r>
      <w:r w:rsidR="00937E17">
        <w:rPr>
          <w:rFonts w:eastAsia="Times New Roman" w:cs="Times New Roman"/>
          <w:bCs/>
          <w:lang w:eastAsia="lv-LV"/>
        </w:rPr>
        <w:t>s</w:t>
      </w:r>
      <w:r w:rsidRPr="00E24BFE" w:rsidR="00937E17">
        <w:rPr>
          <w:rFonts w:eastAsia="Times New Roman" w:cs="Times New Roman"/>
          <w:bCs/>
          <w:lang w:eastAsia="lv-LV"/>
        </w:rPr>
        <w:t xml:space="preserve"> </w:t>
      </w:r>
      <w:r w:rsidRPr="00E24BFE" w:rsidR="00160A95">
        <w:rPr>
          <w:rFonts w:eastAsia="Times New Roman" w:cs="Times New Roman"/>
          <w:bCs/>
          <w:lang w:eastAsia="lv-LV"/>
        </w:rPr>
        <w:t>sniegtie priekšlikumi</w:t>
      </w:r>
      <w:r w:rsidR="00937E17">
        <w:rPr>
          <w:rFonts w:eastAsia="Times New Roman" w:cs="Times New Roman"/>
          <w:bCs/>
          <w:lang w:eastAsia="lv-LV"/>
        </w:rPr>
        <w:t>.</w:t>
      </w:r>
      <w:r w:rsidRPr="00E24BFE" w:rsidR="00160A95">
        <w:rPr>
          <w:rFonts w:eastAsia="Times New Roman" w:cs="Times New Roman"/>
          <w:bCs/>
          <w:lang w:eastAsia="lv-LV"/>
        </w:rPr>
        <w:t xml:space="preserve"> </w:t>
      </w:r>
    </w:p>
    <w:p w:rsidR="00086B6E" w:rsidRPr="008E3F65" w14:paraId="487172A2" w14:textId="77777777">
      <w:pPr>
        <w:rPr>
          <w:rFonts w:eastAsia="Times New Roman" w:cs="Times New Roman"/>
          <w:bCs/>
          <w:lang w:eastAsia="lv-LV"/>
        </w:rPr>
      </w:pPr>
      <w:r w:rsidRPr="008E3F65">
        <w:rPr>
          <w:rFonts w:eastAsia="Times New Roman" w:cs="Times New Roman"/>
          <w:bCs/>
          <w:lang w:eastAsia="lv-LV"/>
        </w:rPr>
        <w:br w:type="page"/>
      </w:r>
    </w:p>
    <w:p w:rsidR="007D09BA" w:rsidP="00EB77A4" w14:paraId="43478DD6" w14:textId="77777777">
      <w:pPr>
        <w:pStyle w:val="Heading1"/>
      </w:pPr>
      <w:bookmarkStart w:id="9" w:name="_Toc483604187"/>
      <w:bookmarkStart w:id="10" w:name="_Toc494727595"/>
      <w:bookmarkStart w:id="11" w:name="_Toc499019508"/>
      <w:bookmarkStart w:id="12" w:name="_Toc505086364"/>
      <w:bookmarkStart w:id="13" w:name="_Toc256000002"/>
      <w:bookmarkStart w:id="14" w:name="_Toc256000029"/>
      <w:r w:rsidRPr="008E3F65">
        <w:t>KOPSAVILKUMS</w:t>
      </w:r>
      <w:bookmarkEnd w:id="14"/>
      <w:bookmarkEnd w:id="13"/>
      <w:bookmarkEnd w:id="9"/>
      <w:bookmarkEnd w:id="10"/>
      <w:bookmarkEnd w:id="11"/>
      <w:bookmarkEnd w:id="12"/>
    </w:p>
    <w:p w:rsidR="00452026" w:rsidP="00D24FD2" w14:paraId="2B19348B" w14:textId="77777777">
      <w:r w:rsidRPr="00D24FD2">
        <w:t>Latvijas ekonomikas attīstības tendenču analīze parāda, ka Latvijas ekonomikai trūkst straujākas izaugsmes stimuli.</w:t>
      </w:r>
      <w:r w:rsidRPr="00D24FD2" w:rsidR="004E0EFD">
        <w:t xml:space="preserve"> Lai identificētu Latvijas tautsaimniecības nozaru konkurētspējas priekšrocības</w:t>
      </w:r>
      <w:r w:rsidR="00F23E2E">
        <w:t>,</w:t>
      </w:r>
      <w:r w:rsidRPr="00D24FD2" w:rsidR="004E0EFD">
        <w:t xml:space="preserve"> veiktu stratēģisko prioritāšu izvēli, kas maksimāli atraisītu Latvijas ekonomikas attīstības potenciālu, nodrošinot tautsaimniecības izaugsmi, </w:t>
      </w:r>
      <w:r>
        <w:t xml:space="preserve">ir </w:t>
      </w:r>
      <w:r w:rsidR="00D24FD2">
        <w:t>izstrādāta</w:t>
      </w:r>
      <w:r w:rsidR="002F1E2C">
        <w:t xml:space="preserve"> Latvijas Viedās specializācijas stratēģija (</w:t>
      </w:r>
      <w:r w:rsidRPr="00D8752B" w:rsidR="002F1E2C">
        <w:t>RIS3</w:t>
      </w:r>
      <w:r w:rsidR="002F1E2C">
        <w:t>)</w:t>
      </w:r>
      <w:r>
        <w:t xml:space="preserve">. </w:t>
      </w:r>
      <w:r w:rsidR="008A1D9E">
        <w:t>B</w:t>
      </w:r>
      <w:r w:rsidRPr="00D8752B" w:rsidR="008A1D9E">
        <w:t>ūtisks priekšnoteikums pārejai uz inovatīvu ekonomiku ir Latvijas inovācijas sistēmas stiprināšana</w:t>
      </w:r>
      <w:r w:rsidR="008A1D9E">
        <w:t xml:space="preserve">. Ievērojot minēto, </w:t>
      </w:r>
      <w:r>
        <w:t>RIS3 stratēģijas mērķis:</w:t>
      </w:r>
    </w:p>
    <w:p w:rsidR="00452026" w:rsidP="00124CD6" w14:paraId="01017E42" w14:textId="77777777">
      <w:pPr>
        <w:pStyle w:val="BulletF"/>
      </w:pPr>
      <w:r w:rsidRPr="00D8752B">
        <w:t xml:space="preserve">palielināt inovācijas kapacitāti, </w:t>
      </w:r>
      <w:r w:rsidRPr="00D8752B">
        <w:t>veicinot zinātnes un tehnoloģiju virzīto izaugsmi un virzību uz zināšanām balstītu spēju attīstībai, vienlaikus nodrošinot investīciju efektivitāti un savstarpēju papildinātību inovāciju, pētniecības, izglītības un resursu ilgtspējas jomās</w:t>
      </w:r>
      <w:r>
        <w:t>;</w:t>
      </w:r>
    </w:p>
    <w:p w:rsidR="002F1E2C" w:rsidP="00124CD6" w14:paraId="31556193" w14:textId="77777777">
      <w:pPr>
        <w:pStyle w:val="BulletF"/>
      </w:pPr>
      <w:r w:rsidRPr="00D8752B">
        <w:t xml:space="preserve"> veidot inovācijas sistēmu, kas veicina</w:t>
      </w:r>
      <w:r w:rsidRPr="000166FC">
        <w:t xml:space="preserve"> un atbalsta tehnoloģisko progresu tautsaimniecībā.</w:t>
      </w:r>
    </w:p>
    <w:p w:rsidR="00F23E2E" w:rsidP="00F23E2E" w14:paraId="338D15B4" w14:textId="77777777">
      <w:r>
        <w:t xml:space="preserve">SAM 1.1.1.pasākumi ir viens no instrumentiem </w:t>
      </w:r>
      <w:r w:rsidRPr="00D8752B" w:rsidR="008A1D9E">
        <w:t>Latvijas inovācijas sistēmas stiprināšana</w:t>
      </w:r>
      <w:r w:rsidR="008A1D9E">
        <w:t xml:space="preserve">i un </w:t>
      </w:r>
      <w:r>
        <w:t xml:space="preserve">pārejai uz inovatīvu ekonomiku </w:t>
      </w:r>
      <w:r w:rsidR="006670CB">
        <w:t xml:space="preserve">(tautsaimniecības transformācija) </w:t>
      </w:r>
      <w:r>
        <w:t xml:space="preserve">atbilstoši RIS3 mērķiem un izaugsmes prioritātēm. </w:t>
      </w:r>
    </w:p>
    <w:p w:rsidR="008A1D9E" w:rsidP="002F1E2C" w14:paraId="46865C71" w14:textId="77777777">
      <w:r w:rsidRPr="00D8752B">
        <w:t xml:space="preserve">SAM </w:t>
      </w:r>
      <w:r>
        <w:t xml:space="preserve">1.1.1. pasākumu </w:t>
      </w:r>
      <w:r w:rsidRPr="00D8752B">
        <w:t>ietvaros plānots</w:t>
      </w:r>
      <w:r>
        <w:t>:</w:t>
      </w:r>
    </w:p>
    <w:p w:rsidR="008A1D9E" w:rsidP="00124CD6" w14:paraId="2B95262B" w14:textId="77777777">
      <w:pPr>
        <w:pStyle w:val="BulletF"/>
      </w:pPr>
      <w:r w:rsidRPr="00D8752B">
        <w:t xml:space="preserve">palielināt valsts zinātnisko institūciju pētniecībai piesaistītā </w:t>
      </w:r>
      <w:r>
        <w:t xml:space="preserve">privātā finansējuma </w:t>
      </w:r>
      <w:r w:rsidRPr="00D8752B">
        <w:t>apjomu</w:t>
      </w:r>
      <w:r>
        <w:t>;</w:t>
      </w:r>
    </w:p>
    <w:p w:rsidR="008A1D9E" w:rsidP="00124CD6" w14:paraId="13E609F4" w14:textId="77777777">
      <w:pPr>
        <w:pStyle w:val="BulletF"/>
      </w:pPr>
      <w:r w:rsidRPr="00D8752B">
        <w:t xml:space="preserve">stiprināt pētniecības </w:t>
      </w:r>
      <w:r>
        <w:t xml:space="preserve">un inovāciju </w:t>
      </w:r>
      <w:r w:rsidRPr="00D8752B">
        <w:t>kapacitāt</w:t>
      </w:r>
      <w:r>
        <w:t>i</w:t>
      </w:r>
      <w:r w:rsidRPr="00D8752B">
        <w:t>, ieguldot cilvēkresursos</w:t>
      </w:r>
      <w:r>
        <w:t xml:space="preserve"> un sekmējot</w:t>
      </w:r>
      <w:r w:rsidRPr="00D8752B">
        <w:t xml:space="preserve"> cilvēkkapitāla atjaunotn</w:t>
      </w:r>
      <w:r>
        <w:t>i</w:t>
      </w:r>
      <w:r w:rsidRPr="00D8752B">
        <w:t xml:space="preserve">, </w:t>
      </w:r>
    </w:p>
    <w:p w:rsidR="008A1D9E" w:rsidP="00124CD6" w14:paraId="7B18904E" w14:textId="77777777">
      <w:pPr>
        <w:pStyle w:val="BulletF"/>
      </w:pPr>
      <w:r>
        <w:t xml:space="preserve">veicināt </w:t>
      </w:r>
      <w:r w:rsidRPr="00D8752B">
        <w:t>mijiedarbību starp visiem inovācijas sistēmas subjektiem – uzņēmējdarbību, zinātni un izglītību</w:t>
      </w:r>
      <w:r>
        <w:t>;</w:t>
      </w:r>
    </w:p>
    <w:p w:rsidR="00F23E2E" w:rsidP="00124CD6" w14:paraId="78650927" w14:textId="77777777">
      <w:pPr>
        <w:pStyle w:val="BulletF"/>
      </w:pPr>
      <w:r>
        <w:t>sekmēt</w:t>
      </w:r>
      <w:r>
        <w:t xml:space="preserve"> </w:t>
      </w:r>
      <w:r w:rsidRPr="00D8752B">
        <w:t>zinātnisko institūciju sadarbīb</w:t>
      </w:r>
      <w:r>
        <w:t>u</w:t>
      </w:r>
      <w:r w:rsidRPr="00D8752B">
        <w:t xml:space="preserve"> ar komersantiem, kuri rada un ievieš jaunus, zināšanu ietilpīgus un konkurētspējīgus produktus</w:t>
      </w:r>
      <w:r w:rsidR="006670CB">
        <w:t>.</w:t>
      </w:r>
    </w:p>
    <w:p w:rsidR="00D2700F" w:rsidP="0039527D" w14:paraId="571D1115" w14:textId="77777777">
      <w:r>
        <w:t>Virzību uz RIS3 mērķu sasniegšanu raksturo</w:t>
      </w:r>
      <w:r>
        <w:t>:</w:t>
      </w:r>
    </w:p>
    <w:p w:rsidR="00D2700F" w:rsidP="00124CD6" w14:paraId="11252C79" w14:textId="77777777">
      <w:pPr>
        <w:pStyle w:val="BulletF"/>
      </w:pPr>
      <w:r w:rsidRPr="008E3F65">
        <w:rPr>
          <w:lang w:eastAsia="en-GB"/>
        </w:rPr>
        <w:t>RIS3 mērķa sasniegšanas rādītāji</w:t>
      </w:r>
      <w:r>
        <w:rPr>
          <w:lang w:eastAsia="en-GB"/>
        </w:rPr>
        <w:t>, tai skaitā</w:t>
      </w:r>
      <w:r>
        <w:t xml:space="preserve"> </w:t>
      </w:r>
      <w:r w:rsidR="00853BB7">
        <w:t>kopējie ieguldījumi pētniecībā un attīstībā (turpmāk – P&amp;A), Latvijas pozīcija Eiropas inovāciju rādītāju grupā un produktivi</w:t>
      </w:r>
      <w:r>
        <w:t>tātes pieaugums tautsaimniecībā</w:t>
      </w:r>
      <w:r>
        <w:t>;</w:t>
      </w:r>
    </w:p>
    <w:p w:rsidR="00D2700F" w:rsidP="00124CD6" w14:paraId="5A27C944" w14:textId="77777777">
      <w:pPr>
        <w:pStyle w:val="BulletF"/>
      </w:pPr>
      <w:r w:rsidRPr="00307B6B">
        <w:rPr>
          <w:lang w:eastAsia="en-GB"/>
        </w:rPr>
        <w:t>RIS3 mikro līmeņa rādītāji</w:t>
      </w:r>
      <w:r>
        <w:rPr>
          <w:lang w:eastAsia="en-GB"/>
        </w:rPr>
        <w:t>, tai skaitā z</w:t>
      </w:r>
      <w:r w:rsidRPr="00307B6B">
        <w:t>inātnisko insti</w:t>
      </w:r>
      <w:r>
        <w:t>tūciju licenču/patentu ieņēmumi, u</w:t>
      </w:r>
      <w:r w:rsidRPr="00307B6B">
        <w:t>zņēmumu līdzfinansējums P&amp;A projektiem</w:t>
      </w:r>
      <w:r>
        <w:t>, j</w:t>
      </w:r>
      <w:r w:rsidRPr="00307B6B">
        <w:t>aunradītās darba vietas, t.sk. tās, kurās nodarbināti zinātniskie darbinieki publiskā sektorā/ uzņēmējdarbības sektorā</w:t>
      </w:r>
      <w:r>
        <w:t xml:space="preserve">. </w:t>
      </w:r>
    </w:p>
    <w:p w:rsidR="00495D1F" w:rsidP="00D2700F" w14:paraId="43610F18" w14:textId="77777777">
      <w:r>
        <w:t>Lai gan Latvija no pieticīga snieguma inovāciju rādītāju grupas ierindota vidēja snieguma rādītāju grupā, nav vērojama virzība uz zināšanu un tehnoloģiju ietilpības rādītāju izpildi.</w:t>
      </w:r>
    </w:p>
    <w:p w:rsidR="00495D1F" w:rsidP="00495D1F" w14:paraId="7D8CD9F1" w14:textId="77777777">
      <w:pPr>
        <w:rPr>
          <w:rFonts w:eastAsia="SimSun" w:cs="Times New Roman"/>
          <w:lang w:eastAsia="zh-CN" w:bidi="lo-LA"/>
        </w:rPr>
      </w:pPr>
      <w:r>
        <w:rPr>
          <w:rFonts w:eastAsia="SimSun" w:cs="Times New Roman"/>
          <w:lang w:eastAsia="zh-CN" w:bidi="lo-LA"/>
        </w:rPr>
        <w:t xml:space="preserve">Saskaņā ar Centrālās statistikas pārvaldes datiem </w:t>
      </w:r>
      <w:r w:rsidRPr="001D2152">
        <w:t>2016. gadā</w:t>
      </w:r>
      <w:r>
        <w:rPr>
          <w:rFonts w:eastAsia="SimSun" w:cs="Times New Roman"/>
          <w:lang w:eastAsia="zh-CN" w:bidi="lo-LA"/>
        </w:rPr>
        <w:t xml:space="preserve">: </w:t>
      </w:r>
    </w:p>
    <w:p w:rsidR="00495D1F" w:rsidRPr="00955633" w:rsidP="00124CD6" w14:paraId="1F91E4AB" w14:textId="77777777">
      <w:pPr>
        <w:pStyle w:val="BulletF"/>
        <w:rPr>
          <w:b/>
        </w:rPr>
      </w:pPr>
      <w:r>
        <w:t xml:space="preserve">zinātniski pētnieciskajā darbā nodarbināto </w:t>
      </w:r>
      <w:r w:rsidRPr="001D2152">
        <w:t>zinātnisko darbinieku skait</w:t>
      </w:r>
      <w:r w:rsidR="0042349A">
        <w:t>s</w:t>
      </w:r>
      <w:r w:rsidRPr="001D2152">
        <w:t xml:space="preserve"> (PLE izteiksmē) ir samazinājies par 8% no 5570 </w:t>
      </w:r>
      <w:r w:rsidRPr="0096777E" w:rsidR="00363CFE">
        <w:t xml:space="preserve">2015. gadā </w:t>
      </w:r>
      <w:r w:rsidRPr="0096777E">
        <w:t>uz 5120</w:t>
      </w:r>
      <w:r w:rsidRPr="0096777E" w:rsidR="00363CFE">
        <w:t xml:space="preserve"> 2016. gadā</w:t>
      </w:r>
      <w:r w:rsidRPr="0096777E">
        <w:t>;</w:t>
      </w:r>
      <w:r w:rsidRPr="00955633">
        <w:rPr>
          <w:b/>
        </w:rPr>
        <w:t xml:space="preserve"> </w:t>
      </w:r>
    </w:p>
    <w:p w:rsidR="00495D1F" w:rsidP="00124CD6" w14:paraId="3AFE402D" w14:textId="77777777">
      <w:pPr>
        <w:pStyle w:val="BulletF"/>
      </w:pPr>
      <w:r>
        <w:t xml:space="preserve">izdevumi zinātniski pētnieciskajam darbam </w:t>
      </w:r>
      <w:r w:rsidR="005F61D6">
        <w:t>veido</w:t>
      </w:r>
      <w:r w:rsidR="0096777E">
        <w:t xml:space="preserve"> 0,44 % no IKP;</w:t>
      </w:r>
      <w:r>
        <w:t xml:space="preserve"> </w:t>
      </w:r>
    </w:p>
    <w:p w:rsidR="0066192B" w:rsidP="00124CD6" w14:paraId="46F0BFD6" w14:textId="3B4B639F">
      <w:pPr>
        <w:pStyle w:val="BulletF"/>
      </w:pPr>
      <w:r>
        <w:t>RIS3 mikro</w:t>
      </w:r>
      <w:r w:rsidR="006670CB">
        <w:t xml:space="preserve"> </w:t>
      </w:r>
      <w:r>
        <w:t xml:space="preserve">līmeņa rādītāju izpilde </w:t>
      </w:r>
      <w:r w:rsidR="00495D1F">
        <w:t xml:space="preserve">tieši </w:t>
      </w:r>
      <w:r w:rsidR="00D2700F">
        <w:t>atkarīga no</w:t>
      </w:r>
      <w:r>
        <w:t xml:space="preserve"> </w:t>
      </w:r>
      <w:r w:rsidR="00853BB7">
        <w:t>SAM 1.1.1. ietvaros sasniedzam</w:t>
      </w:r>
      <w:r w:rsidR="006670CB">
        <w:t>o</w:t>
      </w:r>
      <w:r w:rsidR="00853BB7">
        <w:t xml:space="preserve"> rezultāta un iznākuma rādītāj</w:t>
      </w:r>
      <w:r w:rsidR="006670CB">
        <w:t>u izpild</w:t>
      </w:r>
      <w:r w:rsidR="00D2700F">
        <w:t>es</w:t>
      </w:r>
      <w:r w:rsidR="006670CB">
        <w:t xml:space="preserve"> </w:t>
      </w:r>
      <w:r w:rsidR="00853BB7">
        <w:t xml:space="preserve">tai skaitā </w:t>
      </w:r>
      <w:r w:rsidR="00D2700F">
        <w:t xml:space="preserve">a) </w:t>
      </w:r>
      <w:r w:rsidRPr="00D2700F" w:rsidR="00853BB7">
        <w:t xml:space="preserve">ārējais finansējums zinātniski pētnieciskajam darbam, tai skaitā privātās investīcijas, kas papildina valsts atbalstu inovācijām vai pētniecības un izstrādes projektiem, </w:t>
      </w:r>
      <w:r w:rsidR="00D2700F">
        <w:t>b)</w:t>
      </w:r>
      <w:r w:rsidR="005B62D8">
        <w:t> </w:t>
      </w:r>
      <w:r w:rsidR="00D2700F">
        <w:t>jaunu pētnieku skaits atbalstītajās vienībās (pilna laika ekvivalenta izteiksmē, c</w:t>
      </w:r>
      <w:r w:rsidRPr="00D2700F" w:rsidR="00853BB7">
        <w:t>)</w:t>
      </w:r>
      <w:r w:rsidR="005B62D8">
        <w:t> </w:t>
      </w:r>
      <w:r w:rsidRPr="00D2700F" w:rsidR="00853BB7">
        <w:t xml:space="preserve">zinātnisko rakstu skaits, kuru izstrādei un publicēšanai ir sniegts atbalsts, </w:t>
      </w:r>
      <w:r w:rsidR="00D2700F">
        <w:t>d</w:t>
      </w:r>
      <w:r w:rsidRPr="00D2700F" w:rsidR="00853BB7">
        <w:t>)</w:t>
      </w:r>
      <w:r w:rsidR="00957E8F">
        <w:t> </w:t>
      </w:r>
      <w:r w:rsidRPr="00D2700F" w:rsidR="00853BB7">
        <w:t>jaun</w:t>
      </w:r>
      <w:r w:rsidR="007B544F">
        <w:t>u</w:t>
      </w:r>
      <w:r w:rsidRPr="00D2700F" w:rsidR="00853BB7">
        <w:t xml:space="preserve"> produktu un tehnoloģiju skaits</w:t>
      </w:r>
      <w:r w:rsidR="007B544F">
        <w:t>, kas ir komercializējamas un kuru izstrādei sniegts atbalsts</w:t>
      </w:r>
      <w:r>
        <w:t>.</w:t>
      </w:r>
    </w:p>
    <w:p w:rsidR="00D13001" w:rsidP="0066192B" w14:paraId="1CFC4525" w14:textId="77777777">
      <w:r>
        <w:t>Saskaņā ar SAM 1.1.1. pasākumu īstenošanas analīzes</w:t>
      </w:r>
      <w:r w:rsidR="00495D1F">
        <w:t xml:space="preserve"> rezultāt</w:t>
      </w:r>
      <w:r>
        <w:t>iem</w:t>
      </w:r>
      <w:r w:rsidR="00495D1F">
        <w:t xml:space="preserve"> </w:t>
      </w:r>
      <w:r w:rsidR="000326BF">
        <w:t>identificēti</w:t>
      </w:r>
      <w:r w:rsidR="00495D1F">
        <w:t xml:space="preserve"> šādu SAM 1.1.1. pasākumu iznākuma rādītāju izpildes riski:</w:t>
      </w:r>
      <w:r>
        <w:t xml:space="preserve"> </w:t>
      </w:r>
    </w:p>
    <w:p w:rsidR="00495D1F" w:rsidP="00124CD6" w14:paraId="14F54C19" w14:textId="77777777">
      <w:pPr>
        <w:pStyle w:val="BulletF"/>
      </w:pPr>
      <w:r w:rsidRPr="00E551F3">
        <w:t>jaunu pētnieku skaits atbalstītajās vienībās (pilnas slodzes ekvivalents)</w:t>
      </w:r>
      <w:r>
        <w:t>;</w:t>
      </w:r>
    </w:p>
    <w:p w:rsidR="000326BF" w:rsidP="00124CD6" w14:paraId="217522A4" w14:textId="77777777">
      <w:pPr>
        <w:pStyle w:val="BulletF"/>
      </w:pPr>
      <w:r w:rsidRPr="00E551F3">
        <w:t>privātās investīcijas, kas papildina valsts atbalstu inovācijām vai pētniecības un izstrādes projektiem</w:t>
      </w:r>
      <w:r w:rsidR="00D13001">
        <w:t>.</w:t>
      </w:r>
    </w:p>
    <w:p w:rsidR="000326BF" w:rsidRPr="00E551F3" w:rsidP="000326BF" w14:paraId="25BEB2F7" w14:textId="77777777">
      <w:r>
        <w:t>Tādējādi ir apdraudēta</w:t>
      </w:r>
      <w:r w:rsidRPr="008D43FE">
        <w:t xml:space="preserve"> ekonomik</w:t>
      </w:r>
      <w:r>
        <w:t xml:space="preserve">as izaugsmei </w:t>
      </w:r>
      <w:r w:rsidRPr="008D43FE">
        <w:t>nepieciešam</w:t>
      </w:r>
      <w:r>
        <w:t>o</w:t>
      </w:r>
      <w:r w:rsidRPr="008D43FE">
        <w:t xml:space="preserve"> zināšan</w:t>
      </w:r>
      <w:r>
        <w:t>u ieguve un inovāciju kapacitātes paaugstināšana</w:t>
      </w:r>
      <w:r>
        <w:t xml:space="preserve"> (</w:t>
      </w:r>
      <w:r>
        <w:fldChar w:fldCharType="begin"/>
      </w:r>
      <w:r>
        <w:instrText xml:space="preserve"> REF _Ref494274800 \h  \* MERGEFORMAT </w:instrText>
      </w:r>
      <w:r>
        <w:fldChar w:fldCharType="separate"/>
      </w:r>
      <w:r w:rsidR="004A0A1B">
        <w:rPr>
          <w:noProof/>
        </w:rPr>
        <w:t>1.</w:t>
      </w:r>
      <w:r w:rsidR="004A0A1B">
        <w:t xml:space="preserve"> attēls</w:t>
      </w:r>
      <w:r>
        <w:fldChar w:fldCharType="end"/>
      </w:r>
      <w:r>
        <w:t>)</w:t>
      </w:r>
      <w:r>
        <w:t xml:space="preserve">. </w:t>
      </w:r>
    </w:p>
    <w:p w:rsidR="000326BF" w:rsidP="000326BF" w14:paraId="1FE468DA" w14:textId="77777777">
      <w:pPr>
        <w:jc w:val="center"/>
      </w:pPr>
      <w:r>
        <w:rPr>
          <w:noProof/>
          <w:lang w:eastAsia="lv-LV"/>
        </w:rPr>
        <w:drawing>
          <wp:inline distT="0" distB="0" distL="0" distR="0">
            <wp:extent cx="5760085" cy="2512695"/>
            <wp:effectExtent l="57150" t="57150" r="50165" b="590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326BF" w:rsidP="000326BF" w14:paraId="189732BD" w14:textId="77777777">
      <w:pPr>
        <w:pStyle w:val="Caption"/>
      </w:pPr>
      <w:bookmarkStart w:id="15" w:name="_Ref490639448"/>
      <w:bookmarkStart w:id="16" w:name="_Ref494274800"/>
      <w:bookmarkStart w:id="17" w:name="_Ref490639420"/>
      <w:r>
        <w:fldChar w:fldCharType="begin"/>
      </w:r>
      <w:r>
        <w:instrText xml:space="preserve"> SEQ attēls \* ARABIC </w:instrText>
      </w:r>
      <w:r>
        <w:fldChar w:fldCharType="separate"/>
      </w:r>
      <w:r>
        <w:t>1</w:t>
      </w:r>
      <w:r>
        <w:fldChar w:fldCharType="end"/>
      </w:r>
      <w:r>
        <w:t xml:space="preserve">. </w:t>
      </w:r>
      <w:bookmarkEnd w:id="15"/>
      <w:r>
        <w:t>attēls</w:t>
      </w:r>
      <w:bookmarkEnd w:id="16"/>
      <w:r>
        <w:t xml:space="preserve">. SAM 1.1.1. iznākuma rādītāju, kuru izpilde ir kavēta, ietekme uz RIS3 </w:t>
      </w:r>
      <w:bookmarkEnd w:id="17"/>
      <w:r w:rsidR="0096777E">
        <w:t>mērķu sasniegšanu</w:t>
      </w:r>
    </w:p>
    <w:p w:rsidR="00F336CE" w:rsidP="002E1731" w14:paraId="7B823155" w14:textId="77777777">
      <w:r>
        <w:t>Lai sekmētu RIS3 stratēģijā un SAM 1.1.1. noteikto mērķu un sasniedzamo rādītāju izpildi, ziņojumā sniegts pasākumu plāns minēto risku mazināšanai</w:t>
      </w:r>
      <w:r w:rsidR="0096777E">
        <w:t xml:space="preserve"> SAM 1.1.1. pasākumu ietvaros</w:t>
      </w:r>
      <w:r>
        <w:t>, ta</w:t>
      </w:r>
      <w:r w:rsidR="0096777E">
        <w:t>jā</w:t>
      </w:r>
      <w:r>
        <w:t xml:space="preserve"> skaitā plānots:</w:t>
      </w:r>
    </w:p>
    <w:p w:rsidR="00CE5CBF" w:rsidP="00124CD6" w14:paraId="4CAB7E51" w14:textId="73D4CE97">
      <w:pPr>
        <w:pStyle w:val="BulletF"/>
      </w:pPr>
      <w:r>
        <w:rPr>
          <w:lang w:eastAsia="lv-LV"/>
        </w:rPr>
        <w:t>precizēt</w:t>
      </w:r>
      <w:r>
        <w:t xml:space="preserve"> </w:t>
      </w:r>
      <w:r w:rsidR="0096777E">
        <w:t>turpmāko</w:t>
      </w:r>
      <w:r>
        <w:t xml:space="preserve"> pētniecības iesniegumu atlases kārtu nolikumu, veikt p</w:t>
      </w:r>
      <w:r>
        <w:rPr>
          <w:lang w:eastAsia="lv-LV"/>
        </w:rPr>
        <w:t>rojektu iesniegumu vērtēšanas kritērij</w:t>
      </w:r>
      <w:r>
        <w:t xml:space="preserve">u grozījumus un aktualizēt vērtēšanas kritēriju piemērošanas metodiku, </w:t>
      </w:r>
      <w:r w:rsidR="007A5F43">
        <w:t>pastiprinot</w:t>
      </w:r>
      <w:r>
        <w:t xml:space="preserve"> stimulus </w:t>
      </w:r>
      <w:r>
        <w:t xml:space="preserve">ar saimniecisku darbību saistītu projektu īstenošanai un tādu projektu atbalstam, </w:t>
      </w:r>
      <w:r w:rsidRPr="00E551F3" w:rsidR="00136375">
        <w:t>kur</w:t>
      </w:r>
      <w:r w:rsidR="007B544F">
        <w:t>as</w:t>
      </w:r>
      <w:r w:rsidRPr="00E551F3" w:rsidR="00136375">
        <w:t xml:space="preserve"> </w:t>
      </w:r>
      <w:r w:rsidR="007B544F">
        <w:t>sekmē iznākuma rādītāju izpildi, tajā skaitā</w:t>
      </w:r>
      <w:r w:rsidRPr="00E551F3" w:rsidR="00136375">
        <w:t xml:space="preserve"> </w:t>
      </w:r>
      <w:r w:rsidR="007B544F">
        <w:t xml:space="preserve">a) </w:t>
      </w:r>
      <w:r w:rsidRPr="00E551F3" w:rsidR="007B544F">
        <w:t>jaunu pētnieku</w:t>
      </w:r>
      <w:r>
        <w:rPr>
          <w:rStyle w:val="FootnoteReference"/>
        </w:rPr>
        <w:footnoteReference w:id="3"/>
      </w:r>
      <w:r w:rsidRPr="00E551F3" w:rsidR="007B544F">
        <w:t xml:space="preserve"> skaits atbalstītajās vienībās </w:t>
      </w:r>
      <w:r w:rsidR="005B62D8">
        <w:t xml:space="preserve">atbilstoši darbības programmā un </w:t>
      </w:r>
      <w:r w:rsidRPr="00C07833" w:rsidR="00C07833">
        <w:t xml:space="preserve">EK </w:t>
      </w:r>
      <w:r w:rsidRPr="007A5F43" w:rsidR="00C07833">
        <w:t>Vadlīnij</w:t>
      </w:r>
      <w:r w:rsidR="00C07833">
        <w:t>ām</w:t>
      </w:r>
      <w:r w:rsidRPr="007A5F43" w:rsidR="00C07833">
        <w:t xml:space="preserve"> par monitoringu un novērtēšanu</w:t>
      </w:r>
      <w:r w:rsidRPr="00C07833" w:rsidR="00C07833">
        <w:t xml:space="preserve"> </w:t>
      </w:r>
      <w:r w:rsidRPr="007A5F43" w:rsidR="00C07833">
        <w:t>– Kohēzijas fonds un Eiropas r</w:t>
      </w:r>
      <w:r w:rsidRPr="00C07833" w:rsidR="00C07833">
        <w:t>e</w:t>
      </w:r>
      <w:r w:rsidRPr="007A5F43" w:rsidR="00C07833">
        <w:t>ģionālās attīstības fonds</w:t>
      </w:r>
      <w:r w:rsidR="00C07833">
        <w:t xml:space="preserve"> (turpmāk – EK vadlīnijas)</w:t>
      </w:r>
      <w:r w:rsidR="007B544F">
        <w:t xml:space="preserve">, </w:t>
      </w:r>
      <w:r w:rsidRPr="00E551F3" w:rsidR="007B544F">
        <w:t>privātās investīcijas, kas papildina valsts atbalstu inovācijām vai pētniecības un izstrādes projektiem</w:t>
      </w:r>
      <w:r w:rsidR="007B544F">
        <w:t>, u.c. rādītāji</w:t>
      </w:r>
      <w:r>
        <w:t>;</w:t>
      </w:r>
    </w:p>
    <w:p w:rsidR="00C5238E" w:rsidP="00124CD6" w14:paraId="6A19CDC1" w14:textId="77777777">
      <w:pPr>
        <w:pStyle w:val="BulletF"/>
      </w:pPr>
      <w:r>
        <w:t>veikt MK noteikumu par SAM 1.1.1. pasākumu īstenošanu grozījumus</w:t>
      </w:r>
      <w:r w:rsidR="001756AF">
        <w:t>;</w:t>
      </w:r>
      <w:r>
        <w:t xml:space="preserve"> </w:t>
      </w:r>
    </w:p>
    <w:p w:rsidR="006D7CF6" w:rsidP="00F77DD2" w14:paraId="2B9536FF" w14:textId="77777777">
      <w:pPr>
        <w:pStyle w:val="BulletF"/>
      </w:pPr>
      <w:r>
        <w:t>īstenot</w:t>
      </w:r>
      <w:r w:rsidR="00CE5CBF">
        <w:t xml:space="preserve"> procedurālus uzlabojumus, lai sekmētu</w:t>
      </w:r>
      <w:r>
        <w:t xml:space="preserve"> </w:t>
      </w:r>
      <w:r w:rsidR="004C2699">
        <w:t>investīciju piesaisti un mazinātu pārsūdzību risku</w:t>
      </w:r>
      <w:r w:rsidR="00805ED6">
        <w:t xml:space="preserve">. </w:t>
      </w:r>
    </w:p>
    <w:p w:rsidR="000166FC" w:rsidRPr="000166FC" w:rsidP="006D7CF6" w14:paraId="7AF74744" w14:textId="3873B9A3">
      <w:r w:rsidRPr="006D7CF6">
        <w:t>Ziņojumā minētie saturisko un ieviešanas nosacījumu uzlabojumi un precizējumi tiks apspriesti un galā redakcijā saskaņoti darbības programmas, SAM 1.1.1. pasākumu MK noteikumu grozījumu un citu saistošo dokumentu saskaņošanas procesā.</w:t>
      </w:r>
      <w:r w:rsidR="006B62E7">
        <w:br w:type="page"/>
      </w:r>
    </w:p>
    <w:p w:rsidR="006A7AE0" w:rsidRPr="0084640E" w:rsidP="00EB77A4" w14:paraId="7B75F9F4" w14:textId="7481905E">
      <w:pPr>
        <w:pStyle w:val="Heading1"/>
      </w:pPr>
      <w:bookmarkStart w:id="18" w:name="_Toc494727596"/>
      <w:bookmarkStart w:id="19" w:name="_Toc499019509"/>
      <w:bookmarkStart w:id="20" w:name="_Toc505086365"/>
      <w:bookmarkStart w:id="21" w:name="_Toc256000003"/>
      <w:bookmarkStart w:id="22" w:name="_Toc256000030"/>
      <w:r w:rsidRPr="0084640E">
        <w:t>1.</w:t>
      </w:r>
      <w:r w:rsidRPr="0084640E" w:rsidR="009372AA">
        <w:t xml:space="preserve"> SAM 1.</w:t>
      </w:r>
      <w:r w:rsidRPr="0084640E">
        <w:t xml:space="preserve">1.1. </w:t>
      </w:r>
      <w:r w:rsidR="00F625A8">
        <w:t xml:space="preserve">pasākumu </w:t>
      </w:r>
      <w:r w:rsidRPr="0084640E" w:rsidR="00990ACC">
        <w:t>īstenošanas noteikumi</w:t>
      </w:r>
      <w:bookmarkEnd w:id="22"/>
      <w:bookmarkEnd w:id="21"/>
      <w:bookmarkEnd w:id="18"/>
      <w:bookmarkEnd w:id="19"/>
      <w:bookmarkEnd w:id="20"/>
    </w:p>
    <w:p w:rsidR="00C70A33" w:rsidP="00C70A33" w14:paraId="78030863" w14:textId="77777777">
      <w:pPr>
        <w:pStyle w:val="Heading2"/>
      </w:pPr>
      <w:bookmarkStart w:id="23" w:name="_Toc494727597"/>
      <w:bookmarkStart w:id="24" w:name="_Toc499019510"/>
      <w:bookmarkStart w:id="25" w:name="_Toc505086366"/>
      <w:bookmarkStart w:id="26" w:name="_Toc256000004"/>
      <w:bookmarkStart w:id="27" w:name="_Toc256000031"/>
      <w:r>
        <w:t>1.1. </w:t>
      </w:r>
      <w:r>
        <w:t>Vispārīgie jautājumi</w:t>
      </w:r>
      <w:bookmarkEnd w:id="27"/>
      <w:bookmarkEnd w:id="26"/>
      <w:bookmarkEnd w:id="23"/>
      <w:bookmarkEnd w:id="24"/>
      <w:bookmarkEnd w:id="25"/>
    </w:p>
    <w:p w:rsidR="00BA5B6C" w:rsidRPr="00CE50E5" w:rsidP="008961F0" w14:paraId="2765BCD2" w14:textId="77777777">
      <w:pPr>
        <w:pStyle w:val="Heading3"/>
      </w:pPr>
      <w:bookmarkStart w:id="28" w:name="_Toc499019511"/>
      <w:bookmarkStart w:id="29" w:name="_Toc505086367"/>
      <w:bookmarkStart w:id="30" w:name="_Toc494727598"/>
      <w:bookmarkStart w:id="31" w:name="_Toc256000005"/>
      <w:bookmarkStart w:id="32" w:name="_Toc256000032"/>
      <w:r>
        <w:t>1.1.1. </w:t>
      </w:r>
      <w:r w:rsidRPr="002E12C1">
        <w:t>Praktiskas ievirzes pētījumi</w:t>
      </w:r>
      <w:bookmarkEnd w:id="32"/>
      <w:bookmarkEnd w:id="31"/>
      <w:bookmarkEnd w:id="28"/>
      <w:bookmarkEnd w:id="29"/>
      <w:r w:rsidRPr="00CE50E5">
        <w:t xml:space="preserve"> </w:t>
      </w:r>
      <w:bookmarkEnd w:id="30"/>
    </w:p>
    <w:tbl>
      <w:tblPr>
        <w:tblStyle w:val="TableGrid"/>
        <w:tblW w:w="0" w:type="auto"/>
        <w:tblBorders>
          <w:top w:val="single" w:sz="4" w:space="0" w:color="634545" w:themeColor="accent6" w:themeShade="BF"/>
          <w:left w:val="single" w:sz="4" w:space="0" w:color="634545" w:themeColor="accent6" w:themeShade="BF"/>
          <w:bottom w:val="single" w:sz="4" w:space="0" w:color="634545" w:themeColor="accent6" w:themeShade="BF"/>
          <w:right w:val="single" w:sz="4" w:space="0" w:color="634545" w:themeColor="accent6" w:themeShade="BF"/>
          <w:insideH w:val="single" w:sz="4" w:space="0" w:color="634545" w:themeColor="accent6" w:themeShade="BF"/>
          <w:insideV w:val="single" w:sz="4" w:space="0" w:color="634545" w:themeColor="accent6" w:themeShade="BF"/>
        </w:tblBorders>
        <w:shd w:val="clear" w:color="auto" w:fill="F0E7E4"/>
        <w:tblLook w:val="04A0"/>
      </w:tblPr>
      <w:tblGrid>
        <w:gridCol w:w="9061"/>
      </w:tblGrid>
      <w:tr w14:paraId="5A410979" w14:textId="77777777" w:rsidTr="00C70A33">
        <w:tblPrEx>
          <w:tblW w:w="0" w:type="auto"/>
          <w:tblBorders>
            <w:top w:val="single" w:sz="4" w:space="0" w:color="634545" w:themeColor="accent6" w:themeShade="BF"/>
            <w:left w:val="single" w:sz="4" w:space="0" w:color="634545" w:themeColor="accent6" w:themeShade="BF"/>
            <w:bottom w:val="single" w:sz="4" w:space="0" w:color="634545" w:themeColor="accent6" w:themeShade="BF"/>
            <w:right w:val="single" w:sz="4" w:space="0" w:color="634545" w:themeColor="accent6" w:themeShade="BF"/>
            <w:insideH w:val="single" w:sz="4" w:space="0" w:color="634545" w:themeColor="accent6" w:themeShade="BF"/>
            <w:insideV w:val="single" w:sz="4" w:space="0" w:color="634545" w:themeColor="accent6" w:themeShade="BF"/>
          </w:tblBorders>
          <w:shd w:val="clear" w:color="auto" w:fill="F0E7E4"/>
          <w:tblLook w:val="04A0"/>
        </w:tblPrEx>
        <w:tc>
          <w:tcPr>
            <w:tcW w:w="9061" w:type="dxa"/>
            <w:shd w:val="clear" w:color="auto" w:fill="F0E7E4"/>
          </w:tcPr>
          <w:p w:rsidR="00FF5050" w:rsidP="00C70A33" w14:paraId="05098BB3" w14:textId="77777777">
            <w:r>
              <w:rPr>
                <w:rFonts w:cs="Times New Roman"/>
                <w:bCs/>
                <w:color w:val="000000"/>
              </w:rPr>
              <w:t>Praktiskas ievirzes pētījumu programmas</w:t>
            </w:r>
            <w:r w:rsidRPr="00C70A33" w:rsidR="00C70A33">
              <w:rPr>
                <w:rFonts w:cs="Times New Roman"/>
                <w:bCs/>
                <w:color w:val="000000"/>
              </w:rPr>
              <w:t xml:space="preserve"> m</w:t>
            </w:r>
            <w:r w:rsidRPr="00C70A33">
              <w:rPr>
                <w:rFonts w:cs="Times New Roman"/>
                <w:bCs/>
                <w:color w:val="000000"/>
              </w:rPr>
              <w:t>ērķis</w:t>
            </w:r>
            <w:r w:rsidRPr="00C70A33">
              <w:rPr>
                <w:rFonts w:cs="Times New Roman"/>
                <w:b/>
                <w:bCs/>
                <w:color w:val="000000"/>
              </w:rPr>
              <w:t xml:space="preserve"> – </w:t>
            </w:r>
            <w:r w:rsidRPr="00C70A33">
              <w:rPr>
                <w:rFonts w:cs="Times New Roman"/>
                <w:color w:val="000000"/>
              </w:rPr>
              <w:t>atbalstīt pētniecību, kas sniedz ieguldījumu Latvijas Viedās specializācijas stratēģijas mērķu sasniegšanā, zinātnes un tehnoloģiju cilvēkkapitāla attīstībā un jaunu zināšanu radīšanā tautsaimniecības konkurētspējas uzlabošanai.</w:t>
            </w:r>
            <w:r w:rsidRPr="00C70A33">
              <w:rPr>
                <w:rFonts w:cs="Times New Roman"/>
                <w:b/>
                <w:bCs/>
                <w:color w:val="000000"/>
              </w:rPr>
              <w:t xml:space="preserve"> </w:t>
            </w:r>
          </w:p>
        </w:tc>
      </w:tr>
    </w:tbl>
    <w:p w:rsidR="00475D4C" w:rsidRPr="00475D4C" w:rsidP="00C70A33" w14:paraId="0C1550AF" w14:textId="77777777">
      <w:pPr>
        <w:rPr>
          <w:bCs/>
          <w:spacing w:val="-2"/>
          <w:szCs w:val="24"/>
        </w:rPr>
      </w:pPr>
      <w:r w:rsidRPr="00475D4C">
        <w:rPr>
          <w:bCs/>
          <w:spacing w:val="-2"/>
          <w:szCs w:val="24"/>
        </w:rPr>
        <w:t xml:space="preserve">Pasākuma ietvaros </w:t>
      </w:r>
      <w:r w:rsidR="00C70A33">
        <w:rPr>
          <w:bCs/>
          <w:spacing w:val="-2"/>
          <w:szCs w:val="24"/>
        </w:rPr>
        <w:t>atbalstu sniedz</w:t>
      </w:r>
      <w:r w:rsidRPr="00475D4C">
        <w:rPr>
          <w:bCs/>
          <w:spacing w:val="-2"/>
          <w:szCs w:val="24"/>
        </w:rPr>
        <w:t xml:space="preserve"> zinātnisko institūciju vai komersantu individuāli vai partnerībā īstenotiem praktiskas ievirzes pētījumiem inovatīvu risinājumu izstrādei praktisku tautsaimniecības problēmu risināšanai, nodrošinot zināšanu pārnesi Latvijas </w:t>
      </w:r>
      <w:r w:rsidR="006163BD">
        <w:rPr>
          <w:bCs/>
          <w:spacing w:val="-2"/>
          <w:szCs w:val="24"/>
        </w:rPr>
        <w:t>V</w:t>
      </w:r>
      <w:r w:rsidRPr="00475D4C">
        <w:rPr>
          <w:bCs/>
          <w:spacing w:val="-2"/>
          <w:szCs w:val="24"/>
        </w:rPr>
        <w:t xml:space="preserve">iedās specializācijas jomās un fokusējot atbalstu uz pētniecības projektiem ar augstu komercializācijas potenciālu. Pasākuma ieviešanas nosacījumi paredz, ka projektu pieteikumu konkurss tiks organizēts vairākās kārtās, lai maksimāli izmantotu Latvijā pieejamo zinātnes infrastruktūru un cilvēkresursus un nodrošinātu sabalansētu investīciju ieguldījumu, tostarp nodrošinot iespēju institūcijām operatīvi sagatavot projektus tiklīdz rodas pieprasījums pēc izpētes un tehnoloģiskiem risinājumiem, kā arī pilnveidot noraidītos projektu iesniegumus un iesniegt tos atkārtoti tuvākajā konkursā. </w:t>
      </w:r>
    </w:p>
    <w:p w:rsidR="00446B10" w:rsidP="0072501E" w14:paraId="28C5085E" w14:textId="77777777">
      <w:pPr>
        <w:ind w:right="85"/>
        <w:rPr>
          <w:szCs w:val="24"/>
        </w:rPr>
      </w:pPr>
      <w:r w:rsidRPr="00D8752B">
        <w:rPr>
          <w:bCs/>
          <w:spacing w:val="-2"/>
          <w:szCs w:val="24"/>
        </w:rPr>
        <w:t xml:space="preserve">Saskaņā ar Ministru kabineta (turpmāk – MK) </w:t>
      </w:r>
      <w:r w:rsidRPr="00D8752B" w:rsidR="00990ACC">
        <w:rPr>
          <w:bCs/>
          <w:spacing w:val="-2"/>
          <w:szCs w:val="24"/>
        </w:rPr>
        <w:t xml:space="preserve">12.01.2016. noteikumiem Nr. 34 </w:t>
      </w:r>
      <w:r w:rsidR="00A26E0A">
        <w:rPr>
          <w:bCs/>
          <w:spacing w:val="-2"/>
          <w:szCs w:val="24"/>
        </w:rPr>
        <w:t>“</w:t>
      </w:r>
      <w:r w:rsidRPr="00D8752B" w:rsidR="00990ACC">
        <w:rPr>
          <w:bCs/>
          <w:spacing w:val="-2"/>
          <w:szCs w:val="24"/>
        </w:rPr>
        <w:t xml:space="preserve">Darbības programmas </w:t>
      </w:r>
      <w:r w:rsidR="00A26E0A">
        <w:rPr>
          <w:bCs/>
          <w:spacing w:val="-2"/>
          <w:szCs w:val="24"/>
        </w:rPr>
        <w:t>“</w:t>
      </w:r>
      <w:r w:rsidRPr="00D8752B" w:rsidR="00990ACC">
        <w:rPr>
          <w:bCs/>
          <w:spacing w:val="-2"/>
          <w:szCs w:val="24"/>
        </w:rPr>
        <w:t>Izaugsme un nodarbinātība</w:t>
      </w:r>
      <w:r w:rsidR="00A26E0A">
        <w:rPr>
          <w:bCs/>
          <w:spacing w:val="-2"/>
          <w:szCs w:val="24"/>
        </w:rPr>
        <w:t>”</w:t>
      </w:r>
      <w:r w:rsidRPr="00D8752B" w:rsidR="00990ACC">
        <w:rPr>
          <w:bCs/>
          <w:spacing w:val="-2"/>
          <w:szCs w:val="24"/>
        </w:rPr>
        <w:t xml:space="preserve"> 1.1.1. specifiskā atbalsta mērķa </w:t>
      </w:r>
      <w:r w:rsidR="00A26E0A">
        <w:rPr>
          <w:bCs/>
          <w:spacing w:val="-2"/>
          <w:szCs w:val="24"/>
        </w:rPr>
        <w:t>“</w:t>
      </w:r>
      <w:r w:rsidRPr="00D8752B" w:rsidR="00990ACC">
        <w:rPr>
          <w:bCs/>
          <w:spacing w:val="-2"/>
          <w:szCs w:val="24"/>
        </w:rPr>
        <w:t>Palielināt Latvijas zinātnisko institūciju pētniecisko un inovatīvo kapacitāti un spēju piesaistīt ārējo finansējumu, ieguldot cilvēkresursos un infrastruktūrā</w:t>
      </w:r>
      <w:r w:rsidR="00A26E0A">
        <w:rPr>
          <w:bCs/>
          <w:spacing w:val="-2"/>
          <w:szCs w:val="24"/>
        </w:rPr>
        <w:t>”</w:t>
      </w:r>
      <w:r w:rsidRPr="00D8752B" w:rsidR="00990ACC">
        <w:rPr>
          <w:bCs/>
          <w:spacing w:val="-2"/>
          <w:szCs w:val="24"/>
        </w:rPr>
        <w:t xml:space="preserve"> 1.1.1.1. pasākuma</w:t>
      </w:r>
      <w:r w:rsidR="00E56347">
        <w:rPr>
          <w:bCs/>
          <w:spacing w:val="-2"/>
          <w:szCs w:val="24"/>
        </w:rPr>
        <w:t xml:space="preserve"> </w:t>
      </w:r>
      <w:r w:rsidR="00A26E0A">
        <w:rPr>
          <w:bCs/>
          <w:spacing w:val="-2"/>
          <w:szCs w:val="24"/>
        </w:rPr>
        <w:t>“</w:t>
      </w:r>
      <w:r w:rsidRPr="00D8752B" w:rsidR="00990ACC">
        <w:rPr>
          <w:bCs/>
          <w:spacing w:val="-2"/>
          <w:szCs w:val="24"/>
        </w:rPr>
        <w:t>Praktiskas ievirzes pētījumi</w:t>
      </w:r>
      <w:r w:rsidR="00A26E0A">
        <w:rPr>
          <w:bCs/>
          <w:spacing w:val="-2"/>
          <w:szCs w:val="24"/>
        </w:rPr>
        <w:t>”</w:t>
      </w:r>
      <w:r w:rsidRPr="00D8752B" w:rsidR="00990ACC">
        <w:rPr>
          <w:bCs/>
          <w:spacing w:val="-2"/>
          <w:szCs w:val="24"/>
        </w:rPr>
        <w:t xml:space="preserve"> īstenošanas noteikumi</w:t>
      </w:r>
      <w:r w:rsidR="00A26E0A">
        <w:rPr>
          <w:bCs/>
          <w:spacing w:val="-2"/>
          <w:szCs w:val="24"/>
        </w:rPr>
        <w:t>”</w:t>
      </w:r>
      <w:r w:rsidRPr="00D8752B" w:rsidR="00990ACC">
        <w:rPr>
          <w:rFonts w:ascii="Arial" w:hAnsi="Arial" w:cs="Arial"/>
          <w:b/>
          <w:bCs/>
          <w:color w:val="414142"/>
          <w:szCs w:val="24"/>
        </w:rPr>
        <w:t xml:space="preserve"> </w:t>
      </w:r>
      <w:r w:rsidRPr="00D8752B">
        <w:rPr>
          <w:bCs/>
          <w:spacing w:val="-2"/>
          <w:szCs w:val="24"/>
        </w:rPr>
        <w:t xml:space="preserve">(turpmāk – MK noteikumi Nr. 34) </w:t>
      </w:r>
      <w:r w:rsidRPr="00D8752B" w:rsidR="00CB20CC">
        <w:rPr>
          <w:szCs w:val="24"/>
        </w:rPr>
        <w:t>1.1.1.1.p</w:t>
      </w:r>
      <w:r w:rsidRPr="00D8752B" w:rsidR="0072501E">
        <w:rPr>
          <w:szCs w:val="24"/>
        </w:rPr>
        <w:t>asākuma ietvaros</w:t>
      </w:r>
      <w:r>
        <w:rPr>
          <w:szCs w:val="24"/>
        </w:rPr>
        <w:t>:</w:t>
      </w:r>
    </w:p>
    <w:p w:rsidR="0072501E" w:rsidRPr="00D8752B" w:rsidP="00160F57" w14:paraId="29DEB9DE" w14:textId="77777777">
      <w:pPr>
        <w:pStyle w:val="ListParagraph"/>
      </w:pPr>
      <w:r>
        <w:t>1. </w:t>
      </w:r>
      <w:r w:rsidR="00B92CC1">
        <w:t>publisko finansējumu</w:t>
      </w:r>
      <w:r w:rsidR="00446B10">
        <w:t xml:space="preserve"> sniedz</w:t>
      </w:r>
      <w:r w:rsidRPr="00D8752B">
        <w:t xml:space="preserve"> ar saimniecisku darbību nesaistīti</w:t>
      </w:r>
      <w:r w:rsidR="00446B10">
        <w:t>em</w:t>
      </w:r>
      <w:r w:rsidRPr="00D8752B">
        <w:t xml:space="preserve"> un ar saimniecisku darbību saistīti</w:t>
      </w:r>
      <w:r w:rsidR="00446B10">
        <w:t>em</w:t>
      </w:r>
      <w:r w:rsidRPr="00D8752B">
        <w:t xml:space="preserve"> </w:t>
      </w:r>
      <w:r w:rsidRPr="00D8752B" w:rsidR="00971F21">
        <w:t xml:space="preserve">pētniecības </w:t>
      </w:r>
      <w:r w:rsidRPr="00D8752B">
        <w:t>projekti</w:t>
      </w:r>
      <w:r w:rsidR="00446B10">
        <w:t>em</w:t>
      </w:r>
      <w:r w:rsidR="00C70A33">
        <w:t>;</w:t>
      </w:r>
    </w:p>
    <w:p w:rsidR="0072501E" w:rsidRPr="00D8752B" w:rsidP="00160F57" w14:paraId="608D4A92" w14:textId="77777777">
      <w:pPr>
        <w:pStyle w:val="ListParagraph"/>
      </w:pPr>
      <w:r>
        <w:t>2. </w:t>
      </w:r>
      <w:r w:rsidR="00446B10">
        <w:t>p</w:t>
      </w:r>
      <w:r w:rsidRPr="00D8752B" w:rsidR="00971F21">
        <w:t>ētniecības p</w:t>
      </w:r>
      <w:r w:rsidRPr="00D8752B">
        <w:t>rojekta iesniedzējs var būt Latvijas Republikā (turpmāk – LR) zinātnisko institūciju reģistrā reģistrēta zinātniskā institūcija vai LR Komercreģistrā reģistrēts komersants. Zinātniskā institūcija pētījuma projektu var īstenot individuāli vai sadarbībā ar citu zinātnisko institūciju vai komersantu, t.sk. ārvalstu. Komersants kā projekta iesniedzējs var īstenot līgumpētījumu, ko komersanta uzdevumā īsteno zinātniskā institūcija vai sadarbības projektu ar zinātnisko institūciju</w:t>
      </w:r>
      <w:r w:rsidR="00C70A33">
        <w:t>;</w:t>
      </w:r>
    </w:p>
    <w:p w:rsidR="0072501E" w:rsidRPr="00D8752B" w:rsidP="00160F57" w14:paraId="2772A379" w14:textId="77777777">
      <w:pPr>
        <w:pStyle w:val="ListParagraph"/>
        <w:rPr>
          <w:rFonts w:eastAsia="Calibri"/>
        </w:rPr>
      </w:pPr>
      <w:r>
        <w:t>3. </w:t>
      </w:r>
      <w:r w:rsidRPr="00D8752B">
        <w:t>atbalstāmas šādas darbības</w:t>
      </w:r>
      <w:r w:rsidRPr="00D8752B">
        <w:rPr>
          <w:rFonts w:eastAsia="Calibri"/>
        </w:rPr>
        <w:t>:</w:t>
      </w:r>
    </w:p>
    <w:p w:rsidR="0072501E" w:rsidP="00124CD6" w14:paraId="73F62A07" w14:textId="77777777">
      <w:pPr>
        <w:pStyle w:val="BulletF"/>
      </w:pPr>
      <w:bookmarkStart w:id="33" w:name="_Ref429144821"/>
      <w:bookmarkStart w:id="34" w:name="_Ref427744831"/>
      <w:bookmarkStart w:id="35" w:name="_Ref427744822"/>
      <w:r w:rsidRPr="00D8752B">
        <w:t>tehniski ekonomiskā priekšizpēte;</w:t>
      </w:r>
    </w:p>
    <w:p w:rsidR="00CB6B4C" w:rsidP="00124CD6" w14:paraId="45B73CEA" w14:textId="77777777">
      <w:pPr>
        <w:pStyle w:val="BulletF"/>
      </w:pPr>
      <w:r w:rsidRPr="00D8752B">
        <w:t>pētniecība, kas iever vismaz vienu no šādām pētniecības kategorijām:</w:t>
      </w:r>
      <w:r>
        <w:t xml:space="preserve"> </w:t>
      </w:r>
      <w:r w:rsidRPr="00D8752B">
        <w:t>fundamentālie pētījumi, rūpnieciskie pētījumi</w:t>
      </w:r>
      <w:r>
        <w:t xml:space="preserve"> </w:t>
      </w:r>
      <w:r w:rsidRPr="00D8752B">
        <w:t>eksperimentālās izstrādes, ja tiek īstenots rūpnieciskais pētījums</w:t>
      </w:r>
      <w:r>
        <w:t>;</w:t>
      </w:r>
    </w:p>
    <w:p w:rsidR="0072501E" w:rsidRPr="00D8752B" w:rsidP="00124CD6" w14:paraId="21A8A5EA" w14:textId="77777777">
      <w:pPr>
        <w:pStyle w:val="BulletF"/>
      </w:pPr>
      <w:r w:rsidRPr="00D8752B">
        <w:t>inovācijas atbalsta darbības – tehnoloģiju tiesību (nemateriālo aktīvu), kas radušās projekta ietvaros veiktās pētniecības rezultātā, iegūšana, apstiprināšana un aizstāvēšana</w:t>
      </w:r>
      <w:r>
        <w:t>:</w:t>
      </w:r>
    </w:p>
    <w:p w:rsidR="00ED39D9" w:rsidP="00124CD6" w14:paraId="5DF1D1BB" w14:textId="0E362665">
      <w:pPr>
        <w:pStyle w:val="BulletF"/>
      </w:pPr>
      <w:r w:rsidRPr="00D8752B">
        <w:t>projekta ietvaros radīto rezultātu izplatīšana mācību, publikāciju vai zināšanu pārneses veidā.</w:t>
      </w:r>
      <w:bookmarkEnd w:id="33"/>
      <w:bookmarkEnd w:id="34"/>
      <w:bookmarkEnd w:id="35"/>
      <w:r>
        <w:br w:type="page"/>
      </w:r>
    </w:p>
    <w:p w:rsidR="0072501E" w:rsidP="00F77DD2" w14:paraId="2107D6F7" w14:textId="77777777">
      <w:pPr>
        <w:pStyle w:val="BulletF"/>
        <w:numPr>
          <w:ilvl w:val="0"/>
          <w:numId w:val="0"/>
        </w:numPr>
        <w:ind w:left="567"/>
      </w:pPr>
    </w:p>
    <w:p w:rsidR="00971F21" w:rsidRPr="009071E1" w:rsidP="008961F0" w14:paraId="44CE8803" w14:textId="41602AE6">
      <w:pPr>
        <w:pStyle w:val="Heading3"/>
      </w:pPr>
      <w:bookmarkStart w:id="36" w:name="_Toc499019512"/>
      <w:bookmarkStart w:id="37" w:name="_Toc505086368"/>
      <w:bookmarkStart w:id="38" w:name="_Toc256000006"/>
      <w:bookmarkStart w:id="39" w:name="_Toc256000033"/>
      <w:r>
        <w:t>1.1.2. </w:t>
      </w:r>
      <w:r w:rsidRPr="002E12C1">
        <w:t xml:space="preserve">Pēcdoktorantūras pētniecības </w:t>
      </w:r>
      <w:bookmarkEnd w:id="36"/>
      <w:r w:rsidR="0090054D">
        <w:t>programma</w:t>
      </w:r>
      <w:bookmarkEnd w:id="39"/>
      <w:bookmarkEnd w:id="38"/>
      <w:bookmarkEnd w:id="37"/>
    </w:p>
    <w:tbl>
      <w:tblPr>
        <w:tblStyle w:val="ListTable4-Accent41"/>
        <w:tblW w:w="0" w:type="auto"/>
        <w:tblBorders>
          <w:top w:val="single" w:sz="4" w:space="0" w:color="956251" w:themeColor="accent4"/>
          <w:left w:val="single" w:sz="4" w:space="0" w:color="956251" w:themeColor="accent4"/>
          <w:bottom w:val="single" w:sz="4" w:space="0" w:color="956251" w:themeColor="accent4"/>
          <w:right w:val="single" w:sz="4" w:space="0" w:color="956251" w:themeColor="accent4"/>
          <w:insideH w:val="single" w:sz="4" w:space="0" w:color="956251" w:themeColor="accent4"/>
          <w:insideV w:val="single" w:sz="4" w:space="0" w:color="956251" w:themeColor="accent4"/>
        </w:tblBorders>
        <w:shd w:val="clear" w:color="auto" w:fill="ECE4E4"/>
        <w:tblLook w:val="04A0"/>
      </w:tblPr>
      <w:tblGrid>
        <w:gridCol w:w="9061"/>
      </w:tblGrid>
      <w:tr w14:paraId="630B870B" w14:textId="77777777" w:rsidTr="00776412">
        <w:tblPrEx>
          <w:tblW w:w="0" w:type="auto"/>
          <w:tblBorders>
            <w:top w:val="single" w:sz="4" w:space="0" w:color="956251" w:themeColor="accent4"/>
            <w:left w:val="single" w:sz="4" w:space="0" w:color="956251" w:themeColor="accent4"/>
            <w:bottom w:val="single" w:sz="4" w:space="0" w:color="956251" w:themeColor="accent4"/>
            <w:right w:val="single" w:sz="4" w:space="0" w:color="956251" w:themeColor="accent4"/>
            <w:insideH w:val="single" w:sz="4" w:space="0" w:color="956251" w:themeColor="accent4"/>
            <w:insideV w:val="single" w:sz="4" w:space="0" w:color="956251" w:themeColor="accent4"/>
          </w:tblBorders>
          <w:shd w:val="clear" w:color="auto" w:fill="ECE4E4"/>
          <w:tblLook w:val="04A0"/>
        </w:tblPrEx>
        <w:tc>
          <w:tcPr>
            <w:tcW w:w="9061" w:type="dxa"/>
            <w:shd w:val="clear" w:color="auto" w:fill="ECE4E4"/>
          </w:tcPr>
          <w:p w:rsidR="006823C7" w:rsidRPr="00776412" w:rsidP="009071E1" w14:paraId="4244C377" w14:textId="77777777">
            <w:pPr>
              <w:rPr>
                <w:rFonts w:cs="Times New Roman"/>
                <w:b w:val="0"/>
                <w:bCs w:val="0"/>
                <w:color w:val="000000"/>
              </w:rPr>
            </w:pPr>
            <w:r>
              <w:rPr>
                <w:rFonts w:cs="Times New Roman"/>
                <w:b w:val="0"/>
                <w:bCs w:val="0"/>
                <w:color w:val="000000"/>
              </w:rPr>
              <w:t>Pēcdoktorantūras pētniecības programmas</w:t>
            </w:r>
            <w:r w:rsidR="009071E1">
              <w:rPr>
                <w:rFonts w:cs="Times New Roman"/>
                <w:b w:val="0"/>
                <w:bCs w:val="0"/>
                <w:color w:val="000000"/>
              </w:rPr>
              <w:t xml:space="preserve"> m</w:t>
            </w:r>
            <w:r w:rsidRPr="00776412">
              <w:rPr>
                <w:rFonts w:cs="Times New Roman"/>
                <w:b w:val="0"/>
                <w:bCs w:val="0"/>
                <w:color w:val="000000"/>
              </w:rPr>
              <w:t>ērķis – attīstīt jauno zinātnieku prasmes un palielināt zinātnisko kapacitāti, nodrošinot jauno zinātnieku karjeras uzsākšanas iespējas zinātniskajās institūcijās un pie komersantiem, kā arī pētniecības kompetenču pilnveidošanu, cilvēkresursu atjaunot</w:t>
            </w:r>
            <w:r w:rsidR="001D50F6">
              <w:rPr>
                <w:rFonts w:cs="Times New Roman"/>
                <w:b w:val="0"/>
                <w:bCs w:val="0"/>
                <w:color w:val="000000"/>
              </w:rPr>
              <w:t>n</w:t>
            </w:r>
            <w:r w:rsidRPr="00776412">
              <w:rPr>
                <w:rFonts w:cs="Times New Roman"/>
                <w:b w:val="0"/>
                <w:bCs w:val="0"/>
                <w:color w:val="000000"/>
              </w:rPr>
              <w:t xml:space="preserve">i un kvalificētu speciālistu skaita pieaugumu. </w:t>
            </w:r>
          </w:p>
        </w:tc>
      </w:tr>
    </w:tbl>
    <w:p w:rsidR="000B3827" w:rsidP="000B3827" w14:paraId="4C489087" w14:textId="77777777">
      <w:pPr>
        <w:ind w:right="85"/>
        <w:rPr>
          <w:szCs w:val="24"/>
        </w:rPr>
      </w:pPr>
      <w:r w:rsidRPr="00D8752B">
        <w:rPr>
          <w:szCs w:val="24"/>
        </w:rPr>
        <w:t xml:space="preserve">Saskaņā ar MK 19.01.2016. noteikumiem Nr. 50 </w:t>
      </w:r>
      <w:r w:rsidR="00A26E0A">
        <w:rPr>
          <w:szCs w:val="24"/>
        </w:rPr>
        <w:t>“</w:t>
      </w:r>
      <w:r w:rsidRPr="00D8752B">
        <w:rPr>
          <w:szCs w:val="24"/>
        </w:rPr>
        <w:t xml:space="preserve">Darbības programmas </w:t>
      </w:r>
      <w:r w:rsidR="00A26E0A">
        <w:rPr>
          <w:szCs w:val="24"/>
        </w:rPr>
        <w:t>“</w:t>
      </w:r>
      <w:r w:rsidRPr="00D8752B">
        <w:rPr>
          <w:szCs w:val="24"/>
        </w:rPr>
        <w:t>Izaugsme un nodarbinātība</w:t>
      </w:r>
      <w:r w:rsidR="00A26E0A">
        <w:rPr>
          <w:szCs w:val="24"/>
        </w:rPr>
        <w:t>”</w:t>
      </w:r>
      <w:r w:rsidRPr="00D8752B">
        <w:rPr>
          <w:szCs w:val="24"/>
        </w:rPr>
        <w:t xml:space="preserve"> 1.1.1. specifiskā atbalsta mērķa </w:t>
      </w:r>
      <w:r w:rsidR="00A26E0A">
        <w:rPr>
          <w:szCs w:val="24"/>
        </w:rPr>
        <w:t>“</w:t>
      </w:r>
      <w:r w:rsidRPr="00D8752B">
        <w:rPr>
          <w:szCs w:val="24"/>
        </w:rPr>
        <w:t>Palielināt Latvijas zinātnisko institūciju pētniecisko un inovatīvo kapacitāti un spēju piesaistīt ārējo finansējumu, ieguldot cilvēkresursos un infrastruktūrā</w:t>
      </w:r>
      <w:r w:rsidR="00A26E0A">
        <w:rPr>
          <w:szCs w:val="24"/>
        </w:rPr>
        <w:t>”</w:t>
      </w:r>
      <w:r w:rsidRPr="00D8752B">
        <w:rPr>
          <w:szCs w:val="24"/>
        </w:rPr>
        <w:t xml:space="preserve"> 1.1.1.2. pasākuma </w:t>
      </w:r>
      <w:r w:rsidR="00A26E0A">
        <w:rPr>
          <w:szCs w:val="24"/>
        </w:rPr>
        <w:t>“</w:t>
      </w:r>
      <w:r w:rsidRPr="00D8752B">
        <w:rPr>
          <w:szCs w:val="24"/>
        </w:rPr>
        <w:t>Pēcdoktorantūras pētniecības atbalsts</w:t>
      </w:r>
      <w:r w:rsidR="00A26E0A">
        <w:rPr>
          <w:szCs w:val="24"/>
        </w:rPr>
        <w:t>”</w:t>
      </w:r>
      <w:r w:rsidRPr="00D8752B">
        <w:rPr>
          <w:szCs w:val="24"/>
        </w:rPr>
        <w:t xml:space="preserve"> īstenošanas noteikumi</w:t>
      </w:r>
      <w:r w:rsidR="00A26E0A">
        <w:rPr>
          <w:szCs w:val="24"/>
        </w:rPr>
        <w:t>”</w:t>
      </w:r>
      <w:r w:rsidRPr="00D8752B">
        <w:rPr>
          <w:szCs w:val="24"/>
        </w:rPr>
        <w:t xml:space="preserve"> </w:t>
      </w:r>
      <w:r w:rsidRPr="00D8752B" w:rsidR="00990ACC">
        <w:rPr>
          <w:szCs w:val="24"/>
        </w:rPr>
        <w:t>(</w:t>
      </w:r>
      <w:r w:rsidR="009D57CB">
        <w:rPr>
          <w:szCs w:val="24"/>
        </w:rPr>
        <w:t xml:space="preserve">turpmāk – </w:t>
      </w:r>
      <w:r w:rsidRPr="00D8752B" w:rsidR="00990ACC">
        <w:rPr>
          <w:szCs w:val="24"/>
        </w:rPr>
        <w:t xml:space="preserve">MK noteikumi Nr.50) </w:t>
      </w:r>
      <w:r w:rsidRPr="00D8752B" w:rsidR="00CB20CC">
        <w:rPr>
          <w:szCs w:val="24"/>
        </w:rPr>
        <w:t>1.1.1.2. pasākuma ietvaros</w:t>
      </w:r>
      <w:r w:rsidRPr="00D8752B" w:rsidR="00990ACC">
        <w:rPr>
          <w:szCs w:val="24"/>
        </w:rPr>
        <w:t>:</w:t>
      </w:r>
      <w:r w:rsidRPr="00D8752B" w:rsidR="00CB20CC">
        <w:rPr>
          <w:szCs w:val="24"/>
        </w:rPr>
        <w:t xml:space="preserve"> </w:t>
      </w:r>
    </w:p>
    <w:p w:rsidR="00CF2ADF" w:rsidP="00160F57" w14:paraId="16DD7B97" w14:textId="77777777">
      <w:pPr>
        <w:pStyle w:val="ListParagraph"/>
      </w:pPr>
      <w:r>
        <w:t>1. projekta iesniedzējs ir VIAA, kas pēc tam, kad ir noslēgta vienošanās par projekta īstenošanu, ir arī Eiropas Reģionālās attīstības fonda finansējuma saņēmēja (</w:t>
      </w:r>
      <w:r w:rsidRPr="004365D9">
        <w:t>projektu Nr.</w:t>
      </w:r>
      <w:r w:rsidRPr="009E6A85">
        <w:t xml:space="preserve">1.1.1.2/16/I/001  </w:t>
      </w:r>
      <w:r w:rsidR="00A26E0A">
        <w:t>“</w:t>
      </w:r>
      <w:r w:rsidRPr="009E6A85">
        <w:t>Atbalsts pēcdoktorantūras pētniecības īstenošanai</w:t>
      </w:r>
      <w:r w:rsidR="00A26E0A">
        <w:t>”</w:t>
      </w:r>
      <w:r>
        <w:t>). VIAA</w:t>
      </w:r>
      <w:r>
        <w:t xml:space="preserve"> p</w:t>
      </w:r>
      <w:r>
        <w:t>rojekta iesniegumam pielikumā pievieno šādus sadarbībā ar Latvijas Rektoru padomi, Latvijas Tirdzniecības un rūpniecības kameru, Latvijas Zinātnes padomi un Valsts zinātnisko institūtu asociāciju izstrādātus un ar Izglītības un zinātnes ministriju saskaņotus dokumentus:</w:t>
      </w:r>
      <w:r>
        <w:t xml:space="preserve"> 1) pētniecības pieteikumu atlases procedūra un kārtība; 2) pētniecības pieteikumu pirmās atlases kārtas dokumenti</w:t>
      </w:r>
      <w:r w:rsidRPr="00CF2ADF">
        <w:t xml:space="preserve"> </w:t>
      </w:r>
      <w:r>
        <w:t>tai skaitā: pētniecības pieteikumu atlases nolikums, pētniecības pieteikumu iesniegumu vērtēšanas kritēriji un to piemērošanas metodika, pētniecības pieteikuma iesnieguma veidlap</w:t>
      </w:r>
      <w:r w:rsidR="00DD4D7C">
        <w:t>a un tās aizpildīšanas metodika;</w:t>
      </w:r>
    </w:p>
    <w:p w:rsidR="00A233C9" w:rsidP="00160F57" w14:paraId="49DAFC96" w14:textId="77777777">
      <w:pPr>
        <w:pStyle w:val="ListParagraph"/>
      </w:pPr>
      <w:r>
        <w:t>2. </w:t>
      </w:r>
      <w:r>
        <w:t>VIAA</w:t>
      </w:r>
      <w:r>
        <w:t xml:space="preserve"> kā finansējuma saņēmējs</w:t>
      </w:r>
      <w:r w:rsidR="001368F2">
        <w:t xml:space="preserve">: </w:t>
      </w:r>
    </w:p>
    <w:p w:rsidR="002A07BA" w:rsidRPr="002A07BA" w:rsidP="00124CD6" w14:paraId="7118F130" w14:textId="77777777">
      <w:pPr>
        <w:pStyle w:val="BulletF"/>
      </w:pPr>
      <w:r w:rsidRPr="002A07BA">
        <w:t>izsludina pētniecības pieteikumu atlases konkursu</w:t>
      </w:r>
      <w:r>
        <w:t>;</w:t>
      </w:r>
    </w:p>
    <w:p w:rsidR="00A233C9" w:rsidP="00124CD6" w14:paraId="64E9B173" w14:textId="77777777">
      <w:pPr>
        <w:pStyle w:val="BulletF"/>
      </w:pPr>
      <w:r>
        <w:t>organizē pētniecības pieteikumu zinātniskās kvalitātes izvērtējumu;</w:t>
      </w:r>
    </w:p>
    <w:p w:rsidR="00A233C9" w:rsidP="00124CD6" w14:paraId="74498215" w14:textId="77777777">
      <w:pPr>
        <w:pStyle w:val="BulletF"/>
      </w:pPr>
      <w:r>
        <w:t>izvērtē pētniecības pieteikumus un pieņem lēmumu par pētniecības pieteikumu iesniegumu apstiprināšanu, tai skaitā paredzot, ka, ja vairāki pētniecības pieteikumi ir saņēmuši vienādu punktu skaitu, priekšroka atbilstoši pētniecības pieteikumu atlases nolikumā noteiktajai kārtībai ir pētniecības pieteikumiem, kas pētniecības pieteikuma īstenošanai piesaista lielāku privātā finansējuma apmēru, vai pētniecības pieteikumiem, kuru ietvaros ir paredzēta pēcdoktoranta starptautiskā mobilitāte;</w:t>
      </w:r>
    </w:p>
    <w:p w:rsidR="00A233C9" w:rsidP="00124CD6" w14:paraId="431062C1" w14:textId="77777777">
      <w:pPr>
        <w:pStyle w:val="BulletF"/>
      </w:pPr>
      <w:r>
        <w:t> uzkrāj datus par pētniecības pieteikuma iesniegumiem atbilstoši normatīvajiem aktiem par Eiropas Savienības struktūrfondu un Kohēzijas fonda vadības informācijas sistēmas izveidošanu un izmantošanu;</w:t>
      </w:r>
    </w:p>
    <w:p w:rsidR="00A233C9" w:rsidRPr="00AA2AA1" w:rsidP="00124CD6" w14:paraId="66A95B28" w14:textId="77777777">
      <w:pPr>
        <w:pStyle w:val="BulletF"/>
      </w:pPr>
      <w:r w:rsidRPr="00AA2AA1">
        <w:t xml:space="preserve">plāno finansējumu pētniecības </w:t>
      </w:r>
      <w:r w:rsidRPr="00AA2AA1" w:rsidR="006163BD">
        <w:t>pieteikum</w:t>
      </w:r>
      <w:r w:rsidR="006163BD">
        <w:t>u</w:t>
      </w:r>
      <w:r w:rsidRPr="00AA2AA1" w:rsidR="006163BD">
        <w:t xml:space="preserve"> </w:t>
      </w:r>
      <w:r w:rsidR="00DD4D7C">
        <w:t>īstenošanai;</w:t>
      </w:r>
    </w:p>
    <w:p w:rsidR="000B3827" w:rsidRPr="00D8752B" w:rsidP="00160F57" w14:paraId="0A1AED98" w14:textId="77777777">
      <w:pPr>
        <w:pStyle w:val="ListParagraph"/>
      </w:pPr>
      <w:r>
        <w:t>3</w:t>
      </w:r>
      <w:r w:rsidRPr="00D8752B" w:rsidR="00990ACC">
        <w:t>. p</w:t>
      </w:r>
      <w:r w:rsidRPr="00D8752B">
        <w:t>ētniecības pieteikuma iesniedzējs ir zinātniskā institūcija vai Latvijas Republikas Uzņēmumu reģistrā reģistrēts sīkais (mikro), mazais, vidējais vai lielais komersants, kas nodibina darba tiesiskās attiecības ar pēcdoktorantu un nodrošina pieeju infrastruktūrai un cilvēkresursiem pētniecības pieteikuma ietvaros nepieciešamo pētījumu īstenošanai. Pētniecības pieteikumu var īstenot individuāli vai partnerībā ar ārvalsts vai Latvijas zinātnisko institūciju, augstskolu vai komersantu (turpmāk – sadarbības partneris), kas uzņem pēcdoktorantu un nodrošina pieeju infrastruktūrai vai cilvēkresursiem (negūstot ekonomiskās priekšrocības un intelektuālā īpašuma tiesības, kas izriet no pētniecības pieteikuma ietvaros veiktajām darbībām).</w:t>
      </w:r>
    </w:p>
    <w:p w:rsidR="000B3827" w:rsidRPr="00D8752B" w:rsidP="00160F57" w14:paraId="46198E73" w14:textId="77777777">
      <w:pPr>
        <w:pStyle w:val="ListParagraph"/>
      </w:pPr>
      <w:r>
        <w:t>4</w:t>
      </w:r>
      <w:r w:rsidRPr="00D8752B" w:rsidR="00990ACC">
        <w:t>. </w:t>
      </w:r>
      <w:r w:rsidRPr="00D8752B" w:rsidR="00BC6A75">
        <w:t xml:space="preserve"> </w:t>
      </w:r>
      <w:r w:rsidRPr="00D8752B" w:rsidR="00990ACC">
        <w:t>v</w:t>
      </w:r>
      <w:r w:rsidRPr="00D8752B">
        <w:t>ar īstenot ar saimniecisku darbību nesaistītu pētniecības pieteikum</w:t>
      </w:r>
      <w:r w:rsidRPr="00D8752B" w:rsidR="00990ACC">
        <w:t>u un</w:t>
      </w:r>
      <w:r w:rsidRPr="00D8752B">
        <w:t xml:space="preserve"> ar saimniecisko darbību saistīt</w:t>
      </w:r>
      <w:r w:rsidR="00BC6A75">
        <w:t>u</w:t>
      </w:r>
      <w:r w:rsidRPr="00D8752B">
        <w:t xml:space="preserve"> pētniecības pieteikum</w:t>
      </w:r>
      <w:r w:rsidR="00BC6A75">
        <w:t>u;</w:t>
      </w:r>
      <w:r w:rsidRPr="00D8752B">
        <w:t xml:space="preserve"> </w:t>
      </w:r>
    </w:p>
    <w:p w:rsidR="00971F21" w:rsidRPr="00D8752B" w:rsidP="00160F57" w14:paraId="5D7AAE63" w14:textId="77777777">
      <w:pPr>
        <w:pStyle w:val="ListParagraph"/>
      </w:pPr>
      <w:r>
        <w:t>5</w:t>
      </w:r>
      <w:r w:rsidR="00BC6A75">
        <w:t>.  atbalstāmas šādas darbības</w:t>
      </w:r>
      <w:r w:rsidRPr="00D8752B">
        <w:t>:</w:t>
      </w:r>
    </w:p>
    <w:p w:rsidR="00971F21" w:rsidRPr="00D8752B" w:rsidP="00F77DD2" w14:paraId="4680F949" w14:textId="77777777">
      <w:pPr>
        <w:pStyle w:val="BulletF"/>
      </w:pPr>
      <w:r w:rsidRPr="00D8752B">
        <w:t>pētniecība, kas ietver vienu no šādām kategorijām:</w:t>
      </w:r>
      <w:r w:rsidR="00DD4D7C">
        <w:t xml:space="preserve"> </w:t>
      </w:r>
      <w:r w:rsidRPr="00D8752B">
        <w:t>fundamentāl</w:t>
      </w:r>
      <w:r w:rsidR="00DD4D7C">
        <w:t>ie</w:t>
      </w:r>
      <w:r w:rsidRPr="00D8752B">
        <w:t xml:space="preserve"> pētījum</w:t>
      </w:r>
      <w:r w:rsidR="00DD4D7C">
        <w:t>i</w:t>
      </w:r>
      <w:r w:rsidRPr="00D8752B">
        <w:t>;</w:t>
      </w:r>
      <w:r w:rsidR="00DD4D7C">
        <w:t xml:space="preserve"> </w:t>
      </w:r>
      <w:r w:rsidRPr="00D8752B">
        <w:t>rūpniecisk</w:t>
      </w:r>
      <w:r w:rsidR="00DD4D7C">
        <w:t>ie</w:t>
      </w:r>
      <w:r w:rsidRPr="00D8752B">
        <w:t xml:space="preserve"> pētījum</w:t>
      </w:r>
      <w:r w:rsidR="00DD4D7C">
        <w:t>i</w:t>
      </w:r>
      <w:r w:rsidRPr="00D8752B">
        <w:t>;</w:t>
      </w:r>
    </w:p>
    <w:p w:rsidR="00971F21" w:rsidRPr="00D8752B" w:rsidP="00124CD6" w14:paraId="5CE83FE2" w14:textId="77777777">
      <w:pPr>
        <w:pStyle w:val="BulletF"/>
      </w:pPr>
      <w:r w:rsidRPr="00D8752B">
        <w:t xml:space="preserve">tādu tehnoloģiju tiesību (nemateriālo aktīvu) iegūšana, apstiprināšana un aizstāvēšana, kuras izriet no </w:t>
      </w:r>
      <w:r w:rsidRPr="00D8752B" w:rsidR="00CB20CC">
        <w:t>pēcdoktoranta pētniecības pieteikuma ietvaros veiktās pētniecības</w:t>
      </w:r>
      <w:r w:rsidRPr="00D8752B">
        <w:t>;</w:t>
      </w:r>
    </w:p>
    <w:p w:rsidR="00971F21" w:rsidRPr="00D8752B" w:rsidP="00124CD6" w14:paraId="54E79D30" w14:textId="77777777">
      <w:pPr>
        <w:pStyle w:val="BulletF"/>
      </w:pPr>
      <w:r w:rsidRPr="00D8752B">
        <w:t>zināšanu un tehnoloģiju pārnese – zinātnisko rakstu un publikāciju publicēšana, pētījumu rezultātu prezentēšana konferencēs un semināros, kā arī citu zināšanu pārvaldības pasākumu īstenošana;</w:t>
      </w:r>
    </w:p>
    <w:p w:rsidR="00971F21" w:rsidRPr="00D8752B" w:rsidP="00124CD6" w14:paraId="54861D58" w14:textId="77777777">
      <w:pPr>
        <w:pStyle w:val="BulletF"/>
      </w:pPr>
      <w:r w:rsidRPr="00D8752B">
        <w:t>pētniecības pieteikuma īstenošanā iesaistītā pēcdoktoranta:</w:t>
      </w:r>
    </w:p>
    <w:p w:rsidR="00971F21" w:rsidRPr="00D8752B" w:rsidP="00BC6A75" w14:paraId="382089D1" w14:textId="77777777">
      <w:pPr>
        <w:pStyle w:val="BulletA"/>
      </w:pPr>
      <w:r w:rsidRPr="00D8752B">
        <w:t>kompetenču pilnveide (mācības);</w:t>
      </w:r>
    </w:p>
    <w:p w:rsidR="00971F21" w:rsidP="00BC6A75" w14:paraId="5353F064" w14:textId="77777777">
      <w:pPr>
        <w:pStyle w:val="BulletA"/>
      </w:pPr>
      <w:r w:rsidRPr="00D8752B">
        <w:t>starptautiskā mobilitāte un tīklošanās.</w:t>
      </w:r>
    </w:p>
    <w:p w:rsidR="00BF082F" w:rsidRPr="007831B1" w:rsidP="00BC6A75" w14:paraId="563A0185" w14:textId="77777777">
      <w:pPr>
        <w:pStyle w:val="Heading2"/>
      </w:pPr>
      <w:bookmarkStart w:id="40" w:name="_Toc494727600"/>
      <w:bookmarkStart w:id="41" w:name="_Toc499019513"/>
      <w:bookmarkStart w:id="42" w:name="_Toc505086369"/>
      <w:bookmarkStart w:id="43" w:name="_Toc256000007"/>
      <w:bookmarkStart w:id="44" w:name="_Toc256000034"/>
      <w:r>
        <w:t>1.</w:t>
      </w:r>
      <w:r w:rsidR="00664A42">
        <w:t>2. </w:t>
      </w:r>
      <w:r w:rsidR="002A02BB">
        <w:t>S</w:t>
      </w:r>
      <w:r w:rsidRPr="007831B1">
        <w:t>agaidāmie rezultāt</w:t>
      </w:r>
      <w:r w:rsidR="003A0121">
        <w:t xml:space="preserve">a </w:t>
      </w:r>
      <w:r w:rsidR="00A73FEB">
        <w:t xml:space="preserve">un iznākuma </w:t>
      </w:r>
      <w:r w:rsidR="003A0121">
        <w:t>rādītāji</w:t>
      </w:r>
      <w:bookmarkEnd w:id="44"/>
      <w:bookmarkEnd w:id="43"/>
      <w:bookmarkEnd w:id="40"/>
      <w:bookmarkEnd w:id="41"/>
      <w:bookmarkEnd w:id="42"/>
    </w:p>
    <w:p w:rsidR="007B45FF" w:rsidRPr="007B45FF" w:rsidP="007B45FF" w14:paraId="0A593951" w14:textId="77777777">
      <w:pPr>
        <w:ind w:right="85"/>
        <w:rPr>
          <w:rFonts w:cs="Times New Roman"/>
          <w:bCs/>
          <w:color w:val="000000"/>
        </w:rPr>
      </w:pPr>
      <w:r w:rsidRPr="007B45FF">
        <w:rPr>
          <w:rFonts w:cs="Times New Roman"/>
          <w:bCs/>
          <w:color w:val="000000"/>
        </w:rPr>
        <w:t>Latvijas inovācijas sistēmas stiprināšanai un pārejai uz inovatīvu ekonomiku RIS3 stratēģijā noteikti šādi rādītāji:</w:t>
      </w:r>
    </w:p>
    <w:p w:rsidR="007B45FF" w:rsidRPr="008E3F65" w:rsidP="00160F57" w14:paraId="1BF87E6B" w14:textId="77777777">
      <w:pPr>
        <w:pStyle w:val="ListParagraph"/>
      </w:pPr>
      <w:r>
        <w:t>1. </w:t>
      </w:r>
      <w:r w:rsidRPr="008E3F65">
        <w:t>RIS3 mērķa sasniegšanas rādītāji:</w:t>
      </w:r>
    </w:p>
    <w:p w:rsidR="007B45FF" w:rsidRPr="00307B6B" w:rsidP="00124CD6" w14:paraId="271685DF" w14:textId="77777777">
      <w:pPr>
        <w:pStyle w:val="BulletF"/>
      </w:pPr>
      <w:r>
        <w:t xml:space="preserve">pozīcija </w:t>
      </w:r>
      <w:r w:rsidRPr="00307B6B">
        <w:t>Eiropas inovāciju rādītāju grup</w:t>
      </w:r>
      <w:r>
        <w:t>ā</w:t>
      </w:r>
      <w:r w:rsidRPr="00307B6B">
        <w:t xml:space="preserve"> (EIS pozīcija);</w:t>
      </w:r>
    </w:p>
    <w:p w:rsidR="007B45FF" w:rsidRPr="00307B6B" w:rsidP="00124CD6" w14:paraId="261A7BED" w14:textId="77777777">
      <w:pPr>
        <w:pStyle w:val="BulletF"/>
      </w:pPr>
      <w:r>
        <w:t>i</w:t>
      </w:r>
      <w:r w:rsidRPr="00307B6B">
        <w:t>eguldījumi P&amp;A 1.5% no IKP;</w:t>
      </w:r>
    </w:p>
    <w:p w:rsidR="007B45FF" w:rsidRPr="00307B6B" w:rsidP="00124CD6" w14:paraId="61110A9D" w14:textId="77777777">
      <w:pPr>
        <w:pStyle w:val="BulletF"/>
      </w:pPr>
      <w:r>
        <w:t>p</w:t>
      </w:r>
      <w:r w:rsidRPr="00307B6B">
        <w:t>roduktivitāte apstrādes rūpniecībā;</w:t>
      </w:r>
    </w:p>
    <w:p w:rsidR="007B45FF" w:rsidRPr="00307B6B" w:rsidP="00124CD6" w14:paraId="65D108DE" w14:textId="77777777">
      <w:pPr>
        <w:pStyle w:val="BulletF"/>
      </w:pPr>
      <w:r>
        <w:t>z</w:t>
      </w:r>
      <w:r w:rsidRPr="00307B6B">
        <w:t>inātnisko darbinieku skaits P&amp;A;</w:t>
      </w:r>
    </w:p>
    <w:p w:rsidR="007B45FF" w:rsidRPr="00307B6B" w:rsidP="00124CD6" w14:paraId="1F4E12B4" w14:textId="77777777">
      <w:pPr>
        <w:pStyle w:val="BulletF"/>
      </w:pPr>
      <w:r>
        <w:t>z</w:t>
      </w:r>
      <w:r w:rsidRPr="00307B6B">
        <w:t xml:space="preserve">inātniskie raksti, kas publicēti starptautiskās datu bāzēs; </w:t>
      </w:r>
    </w:p>
    <w:p w:rsidR="007B45FF" w:rsidRPr="00307B6B" w:rsidP="00124CD6" w14:paraId="11304601" w14:textId="77777777">
      <w:pPr>
        <w:pStyle w:val="BulletF"/>
      </w:pPr>
      <w:r>
        <w:t>p</w:t>
      </w:r>
      <w:r w:rsidRPr="00307B6B">
        <w:t>rivātā sektora ieguldījumu proporcionāls pieaugums P&amp;A;</w:t>
      </w:r>
    </w:p>
    <w:p w:rsidR="007B45FF" w:rsidRPr="00307B6B" w:rsidP="00124CD6" w14:paraId="03FA5A33" w14:textId="77777777">
      <w:pPr>
        <w:pStyle w:val="BulletF"/>
      </w:pPr>
      <w:r>
        <w:t>z</w:t>
      </w:r>
      <w:r w:rsidRPr="00307B6B">
        <w:t>inātnisko darbinieku skaits, kas nodarbināti privātajā sektorā;</w:t>
      </w:r>
    </w:p>
    <w:p w:rsidR="007B45FF" w:rsidRPr="00307B6B" w:rsidP="00124CD6" w14:paraId="36631518" w14:textId="77777777">
      <w:pPr>
        <w:pStyle w:val="BulletF"/>
      </w:pPr>
      <w:r>
        <w:t>p</w:t>
      </w:r>
      <w:r w:rsidRPr="00307B6B">
        <w:t xml:space="preserve">iešķirtie Eiropas patenti no zinātniekiem, kas rezidē Latvijā; </w:t>
      </w:r>
    </w:p>
    <w:p w:rsidR="007B45FF" w:rsidRPr="00307B6B" w:rsidP="00124CD6" w14:paraId="122D06E6" w14:textId="77777777">
      <w:pPr>
        <w:pStyle w:val="BulletF"/>
      </w:pPr>
      <w:r>
        <w:t>a</w:t>
      </w:r>
      <w:r w:rsidRPr="00307B6B">
        <w:t>pstrādes rūpniecības īpatsvars IK</w:t>
      </w:r>
      <w:r w:rsidR="002A07BA">
        <w:t>P</w:t>
      </w:r>
      <w:r w:rsidRPr="00307B6B">
        <w:t xml:space="preserve"> un tās produktivitātes pieaugums;</w:t>
      </w:r>
    </w:p>
    <w:p w:rsidR="007B45FF" w:rsidRPr="00307B6B" w:rsidP="00124CD6" w14:paraId="646E5C7A" w14:textId="77777777">
      <w:pPr>
        <w:pStyle w:val="BulletF"/>
      </w:pPr>
      <w:r>
        <w:t>e</w:t>
      </w:r>
      <w:r w:rsidRPr="00307B6B">
        <w:t>ksporta pieaugums;</w:t>
      </w:r>
    </w:p>
    <w:p w:rsidR="007B45FF" w:rsidRPr="00307B6B" w:rsidP="00124CD6" w14:paraId="78DE93A0" w14:textId="77777777">
      <w:pPr>
        <w:pStyle w:val="BulletF"/>
      </w:pPr>
      <w:r>
        <w:t>a</w:t>
      </w:r>
      <w:r w:rsidRPr="00307B6B">
        <w:t>ugsto tehnoloģiju produktu īpatsvars Latvijas kopējā eksportā un augsto un vidēji augsto tehnoloģiju nozaru īpatsvars Latvijas preču eksportā</w:t>
      </w:r>
    </w:p>
    <w:p w:rsidR="007B45FF" w:rsidRPr="00307B6B" w:rsidP="00160F57" w14:paraId="0DD26321" w14:textId="77777777">
      <w:pPr>
        <w:pStyle w:val="ListParagraph"/>
      </w:pPr>
      <w:r>
        <w:t>2. </w:t>
      </w:r>
      <w:r w:rsidRPr="00307B6B">
        <w:t>RIS3 mikro līmeņa rādītāji:</w:t>
      </w:r>
    </w:p>
    <w:p w:rsidR="007B45FF" w:rsidRPr="00307B6B" w:rsidP="00124CD6" w14:paraId="5B31A228" w14:textId="77777777">
      <w:pPr>
        <w:pStyle w:val="BulletF"/>
      </w:pPr>
      <w:r>
        <w:t>z</w:t>
      </w:r>
      <w:r w:rsidRPr="00307B6B">
        <w:t>inātnisko institūciju licenču/patentu ieņēmumi (EUR);</w:t>
      </w:r>
    </w:p>
    <w:p w:rsidR="007B45FF" w:rsidRPr="00307B6B" w:rsidP="00124CD6" w14:paraId="1A26C914" w14:textId="77777777">
      <w:pPr>
        <w:pStyle w:val="BulletF"/>
      </w:pPr>
      <w:r>
        <w:t>u</w:t>
      </w:r>
      <w:r w:rsidRPr="00307B6B">
        <w:t>zņēmumu līdzfinansējums P&amp;A projektiem (EUR);</w:t>
      </w:r>
    </w:p>
    <w:p w:rsidR="007B45FF" w:rsidRPr="00307B6B" w:rsidP="00124CD6" w14:paraId="5CFCB0FF" w14:textId="77777777">
      <w:pPr>
        <w:pStyle w:val="BulletF"/>
      </w:pPr>
      <w:r>
        <w:t>u</w:t>
      </w:r>
      <w:r w:rsidRPr="00307B6B">
        <w:t>zņēmumu skaits, kas saņēmuši atbalstu, lai ieviestu jaunus produktus un tehnoloģijas;</w:t>
      </w:r>
    </w:p>
    <w:p w:rsidR="007B45FF" w:rsidRPr="00307B6B" w:rsidP="00124CD6" w14:paraId="651F1155" w14:textId="77777777">
      <w:pPr>
        <w:pStyle w:val="BulletF"/>
      </w:pPr>
      <w:r>
        <w:t>j</w:t>
      </w:r>
      <w:r w:rsidRPr="00307B6B">
        <w:t>aunradītās darba vietas, t.sk. tās, kurās nodarbināti zinātniskie darbinieki publiskā sektorā/ uzņēmējdarbības sektorā;</w:t>
      </w:r>
    </w:p>
    <w:p w:rsidR="007B45FF" w:rsidRPr="00307B6B" w:rsidP="00124CD6" w14:paraId="73E8DCE4" w14:textId="77777777">
      <w:pPr>
        <w:pStyle w:val="BulletF"/>
      </w:pPr>
      <w:r>
        <w:t>z</w:t>
      </w:r>
      <w:r w:rsidRPr="00307B6B">
        <w:t>inātniskie raksti, kas publicēti starptautiskās datu bāzēs indeksētos žurnālos (Scopus, Web of Science);</w:t>
      </w:r>
    </w:p>
    <w:p w:rsidR="007B45FF" w:rsidP="00124CD6" w14:paraId="476F1010" w14:textId="77777777">
      <w:pPr>
        <w:pStyle w:val="BulletF"/>
      </w:pPr>
      <w:r w:rsidRPr="00307B6B">
        <w:t>P&amp;I projektos iesaistīto maģistrantu un doktorantu skaits.</w:t>
      </w:r>
    </w:p>
    <w:p w:rsidR="00C12438" w:rsidRPr="005F7BAB" w:rsidP="005F7BAB" w14:paraId="0AC80BC2" w14:textId="77777777">
      <w:pPr>
        <w:rPr>
          <w:rFonts w:eastAsia="SimSun"/>
          <w:bCs/>
          <w:lang w:eastAsia="zh-CN" w:bidi="lo-LA"/>
        </w:rPr>
      </w:pPr>
      <w:r>
        <w:t xml:space="preserve">Viens no instrumentiem RIS3 stratēģijā noteikto mērķu sasniegšanai ir investīcijas P&amp;A </w:t>
      </w:r>
      <w:r w:rsidRPr="005F7BAB" w:rsidR="00446B10">
        <w:t>SAM 1.1.1.</w:t>
      </w:r>
      <w:r w:rsidRPr="005F7BAB">
        <w:t xml:space="preserve"> </w:t>
      </w:r>
      <w:r w:rsidRPr="005F7BAB" w:rsidR="00806634">
        <w:rPr>
          <w:rFonts w:eastAsia="SimSun"/>
          <w:lang w:eastAsia="zh-CN" w:bidi="lo-LA"/>
        </w:rPr>
        <w:t>ietvaros</w:t>
      </w:r>
      <w:r>
        <w:rPr>
          <w:rFonts w:eastAsia="SimSun"/>
          <w:lang w:eastAsia="zh-CN" w:bidi="lo-LA"/>
        </w:rPr>
        <w:t xml:space="preserve">. </w:t>
      </w:r>
      <w:r w:rsidR="00051A38">
        <w:rPr>
          <w:rFonts w:eastAsia="SimSun"/>
          <w:lang w:eastAsia="zh-CN" w:bidi="lo-LA"/>
        </w:rPr>
        <w:t>RIS3 mikro līmeņa rādītāju izpilde ir tieši atkarīga no</w:t>
      </w:r>
      <w:r w:rsidRPr="005F7BAB">
        <w:rPr>
          <w:rFonts w:eastAsia="SimSun"/>
          <w:lang w:eastAsia="zh-CN" w:bidi="lo-LA"/>
        </w:rPr>
        <w:t xml:space="preserve"> </w:t>
      </w:r>
      <w:r w:rsidR="00051A38">
        <w:rPr>
          <w:rFonts w:eastAsia="SimSun"/>
          <w:lang w:eastAsia="zh-CN" w:bidi="lo-LA"/>
        </w:rPr>
        <w:t xml:space="preserve">šādu SAM 1.1.1. </w:t>
      </w:r>
      <w:r w:rsidRPr="005F7BAB" w:rsidR="00647765">
        <w:rPr>
          <w:rFonts w:eastAsia="SimSun"/>
          <w:lang w:eastAsia="zh-CN" w:bidi="lo-LA"/>
        </w:rPr>
        <w:t xml:space="preserve">rezultāta un </w:t>
      </w:r>
      <w:r w:rsidRPr="005F7BAB">
        <w:rPr>
          <w:rFonts w:eastAsia="SimSun"/>
          <w:lang w:eastAsia="zh-CN" w:bidi="lo-LA"/>
        </w:rPr>
        <w:t>iznākuma</w:t>
      </w:r>
      <w:r w:rsidRPr="005F7BAB" w:rsidR="002E0D60">
        <w:rPr>
          <w:rFonts w:eastAsia="SimSun"/>
          <w:lang w:eastAsia="zh-CN" w:bidi="lo-LA"/>
        </w:rPr>
        <w:t xml:space="preserve"> </w:t>
      </w:r>
      <w:r w:rsidRPr="005F7BAB">
        <w:rPr>
          <w:rFonts w:eastAsia="SimSun"/>
          <w:lang w:eastAsia="zh-CN" w:bidi="lo-LA"/>
        </w:rPr>
        <w:t>rādītāj</w:t>
      </w:r>
      <w:r w:rsidR="00051A38">
        <w:rPr>
          <w:rFonts w:eastAsia="SimSun"/>
          <w:lang w:eastAsia="zh-CN" w:bidi="lo-LA"/>
        </w:rPr>
        <w:t>u izpildes</w:t>
      </w:r>
      <w:r w:rsidR="00851201">
        <w:rPr>
          <w:rFonts w:eastAsia="SimSun"/>
          <w:lang w:eastAsia="zh-CN" w:bidi="lo-LA"/>
        </w:rPr>
        <w:t xml:space="preserve"> (</w:t>
      </w:r>
      <w:r w:rsidR="00851201">
        <w:rPr>
          <w:rFonts w:eastAsia="SimSun"/>
          <w:lang w:eastAsia="zh-CN" w:bidi="lo-LA"/>
        </w:rPr>
        <w:fldChar w:fldCharType="begin"/>
      </w:r>
      <w:r w:rsidR="00851201">
        <w:rPr>
          <w:rFonts w:eastAsia="SimSun"/>
          <w:lang w:eastAsia="zh-CN" w:bidi="lo-LA"/>
        </w:rPr>
        <w:instrText xml:space="preserve"> REF _Ref495562502 \h </w:instrText>
      </w:r>
      <w:r w:rsidR="00851201">
        <w:rPr>
          <w:rFonts w:eastAsia="SimSun"/>
          <w:lang w:eastAsia="zh-CN" w:bidi="lo-LA"/>
        </w:rPr>
        <w:fldChar w:fldCharType="separate"/>
      </w:r>
      <w:r>
        <w:t>2</w:t>
      </w:r>
      <w:r>
        <w:t xml:space="preserve">. </w:t>
      </w:r>
      <w:r>
        <w:t>attēls</w:t>
      </w:r>
      <w:r w:rsidR="00851201">
        <w:rPr>
          <w:rFonts w:eastAsia="SimSun"/>
          <w:lang w:eastAsia="zh-CN" w:bidi="lo-LA"/>
        </w:rPr>
        <w:fldChar w:fldCharType="end"/>
      </w:r>
      <w:r w:rsidR="00851201">
        <w:rPr>
          <w:rFonts w:eastAsia="SimSun"/>
          <w:lang w:eastAsia="zh-CN" w:bidi="lo-LA"/>
        </w:rPr>
        <w:t>)</w:t>
      </w:r>
      <w:r w:rsidRPr="005F7BAB" w:rsidR="00806634">
        <w:rPr>
          <w:rFonts w:eastAsia="SimSun"/>
          <w:bCs/>
          <w:lang w:eastAsia="zh-CN" w:bidi="lo-LA"/>
        </w:rPr>
        <w:t>:</w:t>
      </w:r>
    </w:p>
    <w:p w:rsidR="00806634" w:rsidRPr="005F7BAB" w:rsidP="00160F57" w14:paraId="3777D211" w14:textId="77777777">
      <w:pPr>
        <w:pStyle w:val="ListParagraph"/>
        <w:rPr>
          <w:lang w:bidi="lo-LA"/>
        </w:rPr>
      </w:pPr>
      <w:r w:rsidRPr="005F7BAB">
        <w:rPr>
          <w:lang w:bidi="lo-LA"/>
        </w:rPr>
        <w:t>1. ERAF specifiskie rezultāta rādītāji:</w:t>
      </w:r>
    </w:p>
    <w:p w:rsidR="00806634" w:rsidRPr="00FF5050" w:rsidP="00124CD6" w14:paraId="0AC29FAF" w14:textId="77777777">
      <w:pPr>
        <w:pStyle w:val="BulletF"/>
      </w:pPr>
      <w:r w:rsidRPr="00FF5050">
        <w:t>valsts un augstākās izglītības sektora piesaistītais ārējais finansējums zinātniski pētnieciskajam darbam (r.1.1.1.a);</w:t>
      </w:r>
    </w:p>
    <w:p w:rsidR="00806634" w:rsidRPr="00FF5050" w:rsidP="00124CD6" w14:paraId="6774B751" w14:textId="77777777">
      <w:pPr>
        <w:pStyle w:val="BulletF"/>
      </w:pPr>
      <w:r w:rsidRPr="00FF5050">
        <w:t>vidējais zinātnisko publikāciju uz vienu zinātniskā personāla pilna darba laika ekvivalentu skaits gadā (r.1.1.1.b);</w:t>
      </w:r>
    </w:p>
    <w:p w:rsidR="008F07F5" w:rsidRPr="00461CD3" w:rsidP="00160F57" w14:paraId="03A987DB" w14:textId="77777777">
      <w:pPr>
        <w:pStyle w:val="ListParagraph"/>
        <w:rPr>
          <w:lang w:bidi="lo-LA"/>
        </w:rPr>
      </w:pPr>
      <w:r w:rsidRPr="00461CD3">
        <w:rPr>
          <w:lang w:bidi="lo-LA"/>
        </w:rPr>
        <w:t>2. ERAF kopējie un specifiskie iznākuma rādītāji</w:t>
      </w:r>
      <w:r w:rsidR="00851201">
        <w:rPr>
          <w:lang w:bidi="lo-LA"/>
        </w:rPr>
        <w:t xml:space="preserve"> </w:t>
      </w:r>
      <w:r w:rsidR="00851201">
        <w:rPr>
          <w:lang w:eastAsia="zh-CN" w:bidi="lo-LA"/>
        </w:rPr>
        <w:t>(skat. 1.pielikumu)</w:t>
      </w:r>
      <w:r w:rsidR="00461CD3">
        <w:rPr>
          <w:lang w:bidi="lo-LA"/>
        </w:rPr>
        <w:t>:</w:t>
      </w:r>
    </w:p>
    <w:p w:rsidR="005F696A" w:rsidRPr="00A73FEB" w:rsidP="00124CD6" w14:paraId="19CD7F7A" w14:textId="77777777">
      <w:pPr>
        <w:pStyle w:val="BulletF"/>
      </w:pPr>
      <w:r>
        <w:t>j</w:t>
      </w:r>
      <w:r w:rsidRPr="005F696A">
        <w:t>aunu pētnieku skaits atbalstītajās vienībās (pilnas slodzes ekvivalents)</w:t>
      </w:r>
      <w:r w:rsidRPr="00A73FEB">
        <w:t xml:space="preserve"> (</w:t>
      </w:r>
      <w:r w:rsidRPr="005F696A">
        <w:t>i.1.1.1.bk (CO24)</w:t>
      </w:r>
      <w:r w:rsidRPr="00A73FEB">
        <w:t>);</w:t>
      </w:r>
    </w:p>
    <w:p w:rsidR="005F696A" w:rsidRPr="00A73FEB" w:rsidP="00124CD6" w14:paraId="7BA03785" w14:textId="77777777">
      <w:pPr>
        <w:pStyle w:val="BulletF"/>
      </w:pPr>
      <w:r>
        <w:t>z</w:t>
      </w:r>
      <w:r w:rsidRPr="00A73FEB" w:rsidR="00B82467">
        <w:t>inātnisko rakstu skaits, kuru izstrādei un publicēšanai ir sniegts atbalsts (i.1.1.1.e)</w:t>
      </w:r>
      <w:r w:rsidRPr="00A73FEB" w:rsidR="004610BF">
        <w:t>:</w:t>
      </w:r>
      <w:r w:rsidRPr="00A73FEB">
        <w:t xml:space="preserve"> </w:t>
      </w:r>
    </w:p>
    <w:p w:rsidR="004610BF" w:rsidRPr="00A73FEB" w:rsidP="00DC0431" w14:paraId="4C7EDF1A" w14:textId="77777777">
      <w:pPr>
        <w:pStyle w:val="BulletA"/>
      </w:pPr>
      <w:r>
        <w:t>ž</w:t>
      </w:r>
      <w:r w:rsidRPr="005F696A">
        <w:t>urnālos vai konferenču rakstu krājumos, kuru citēšanas indekss sasniedz vismaz 50 procentus no nozares vidējā citēšanas indeksa</w:t>
      </w:r>
      <w:r w:rsidRPr="00A73FEB">
        <w:t xml:space="preserve"> (</w:t>
      </w:r>
      <w:r w:rsidRPr="005F696A">
        <w:t>PUD 1.1.1.a</w:t>
      </w:r>
      <w:r w:rsidRPr="00A73FEB">
        <w:t>)</w:t>
      </w:r>
      <w:r w:rsidR="00CB311D">
        <w:t>;</w:t>
      </w:r>
    </w:p>
    <w:p w:rsidR="004610BF" w:rsidRPr="00A73FEB" w:rsidP="00DC0431" w14:paraId="3A41D6F7" w14:textId="77777777">
      <w:pPr>
        <w:pStyle w:val="BulletA"/>
      </w:pPr>
      <w:r w:rsidRPr="005F696A">
        <w:t>Web of Science datubāzē iekļautos žurnālos vai konferenču rakstu krājumos</w:t>
      </w:r>
      <w:r w:rsidRPr="00A73FEB">
        <w:t xml:space="preserve"> (</w:t>
      </w:r>
      <w:r w:rsidRPr="005F696A">
        <w:t>PUD 1.1.1.b</w:t>
      </w:r>
      <w:r w:rsidRPr="00A73FEB">
        <w:t>);</w:t>
      </w:r>
    </w:p>
    <w:p w:rsidR="004610BF" w:rsidRPr="00A73FEB" w:rsidP="00DC0431" w14:paraId="0AE09880" w14:textId="77777777">
      <w:pPr>
        <w:pStyle w:val="BulletA"/>
      </w:pPr>
      <w:r w:rsidRPr="005F696A">
        <w:t>SCOPUS datubāzē iekļautos žurnālos vai konferenču rakstu krājumos</w:t>
      </w:r>
      <w:r w:rsidRPr="00A73FEB">
        <w:t xml:space="preserve"> (</w:t>
      </w:r>
      <w:r w:rsidRPr="005F696A">
        <w:t>PUD 1.1.1.c</w:t>
      </w:r>
      <w:r w:rsidRPr="00A73FEB">
        <w:t>);</w:t>
      </w:r>
    </w:p>
    <w:p w:rsidR="009372AA" w:rsidRPr="00A73FEB" w:rsidP="00124CD6" w14:paraId="65472703" w14:textId="77777777">
      <w:pPr>
        <w:pStyle w:val="BulletF"/>
      </w:pPr>
      <w:r>
        <w:t>j</w:t>
      </w:r>
      <w:r w:rsidRPr="00A73FEB">
        <w:t>auno produktu un tehnoloģiju skaits, kas ir komercializējami un kuru izstrādei sniegts atbalsts (i.1.1.1.g)</w:t>
      </w:r>
      <w:r w:rsidR="00CB311D">
        <w:t>:</w:t>
      </w:r>
    </w:p>
    <w:p w:rsidR="009372AA" w:rsidRPr="00A73FEB" w:rsidP="00DC0431" w14:paraId="75B086FD" w14:textId="77777777">
      <w:pPr>
        <w:pStyle w:val="BulletA"/>
      </w:pPr>
      <w:r w:rsidRPr="00A73FEB">
        <w:t>j</w:t>
      </w:r>
      <w:r w:rsidRPr="005F696A">
        <w:t>auna produkta vai tehnoloģijas prototips</w:t>
      </w:r>
      <w:r w:rsidRPr="00A73FEB">
        <w:t xml:space="preserve"> (</w:t>
      </w:r>
      <w:r w:rsidRPr="005F696A">
        <w:t>PUD 1.1.1.d</w:t>
      </w:r>
      <w:r w:rsidRPr="00A73FEB">
        <w:t>);</w:t>
      </w:r>
    </w:p>
    <w:p w:rsidR="009372AA" w:rsidRPr="00A73FEB" w:rsidP="00DC0431" w14:paraId="10377D24" w14:textId="77777777">
      <w:pPr>
        <w:pStyle w:val="BulletA"/>
      </w:pPr>
      <w:r w:rsidRPr="00A73FEB">
        <w:t>j</w:t>
      </w:r>
      <w:r>
        <w:t>auna</w:t>
      </w:r>
      <w:r w:rsidRPr="005F696A">
        <w:t xml:space="preserve"> ārstniecības un diagnostikas metode (t.sk. nekomercializējama metode)</w:t>
      </w:r>
      <w:r w:rsidRPr="00A73FEB">
        <w:t xml:space="preserve">( </w:t>
      </w:r>
      <w:r w:rsidRPr="005F696A">
        <w:t>PUD 1.1.1.e</w:t>
      </w:r>
      <w:r w:rsidRPr="00A73FEB">
        <w:t>);</w:t>
      </w:r>
    </w:p>
    <w:p w:rsidR="002D0CB4" w:rsidRPr="002D0CB4" w:rsidP="00124CD6" w14:paraId="3BC890D7" w14:textId="77777777">
      <w:pPr>
        <w:pStyle w:val="BulletF"/>
      </w:pPr>
      <w:r>
        <w:t>p</w:t>
      </w:r>
      <w:r w:rsidRPr="005F696A" w:rsidR="004610BF">
        <w:t>rivātās investīcijas, kas papildina valsts atbalstu inovācijām vai pētniecības un izstrādes projektiem</w:t>
      </w:r>
      <w:r w:rsidRPr="00A73FEB" w:rsidR="004610BF">
        <w:t xml:space="preserve"> (</w:t>
      </w:r>
      <w:r w:rsidRPr="005F696A" w:rsidR="004610BF">
        <w:t>i.1.1.1.f</w:t>
      </w:r>
      <w:r w:rsidRPr="00A73FEB" w:rsidR="004610BF">
        <w:t>)</w:t>
      </w:r>
      <w:r w:rsidR="00DC0431">
        <w:t>;</w:t>
      </w:r>
    </w:p>
    <w:p w:rsidR="005F696A" w:rsidRPr="00A73FEB" w:rsidP="00124CD6" w14:paraId="18695BE1" w14:textId="77777777">
      <w:pPr>
        <w:pStyle w:val="BulletF"/>
      </w:pPr>
      <w:r>
        <w:t>k</w:t>
      </w:r>
      <w:r w:rsidRPr="005F696A">
        <w:t>omersantu skaits, kuri sadarbojas ar pētniecības organizāciju</w:t>
      </w:r>
      <w:r w:rsidRPr="00A73FEB">
        <w:t xml:space="preserve"> (</w:t>
      </w:r>
      <w:r w:rsidRPr="005F696A">
        <w:t>i.1.1.1.ck (CO26)</w:t>
      </w:r>
      <w:r w:rsidRPr="00A73FEB">
        <w:t>);</w:t>
      </w:r>
    </w:p>
    <w:p w:rsidR="00A73FEB" w:rsidRPr="00A73FEB" w:rsidP="00124CD6" w14:paraId="1CF67D10" w14:textId="77777777">
      <w:pPr>
        <w:pStyle w:val="BulletF"/>
      </w:pPr>
      <w:r>
        <w:t>t</w:t>
      </w:r>
      <w:r w:rsidRPr="005F696A">
        <w:t>ehnoloģiju tiesības</w:t>
      </w:r>
      <w:r w:rsidRPr="00A73FEB">
        <w:t xml:space="preserve"> (</w:t>
      </w:r>
      <w:r w:rsidRPr="005F696A">
        <w:t>PUD 1.1.1.f</w:t>
      </w:r>
      <w:r w:rsidRPr="00A73FEB">
        <w:t>);</w:t>
      </w:r>
    </w:p>
    <w:p w:rsidR="00A73FEB" w:rsidRPr="00A73FEB" w:rsidP="00124CD6" w14:paraId="37289CBD" w14:textId="77777777">
      <w:pPr>
        <w:pStyle w:val="BulletF"/>
      </w:pPr>
      <w:r>
        <w:t>i</w:t>
      </w:r>
      <w:r w:rsidRPr="005F696A">
        <w:t>ntelektuālā īpašuma licences līgumi</w:t>
      </w:r>
      <w:r w:rsidRPr="00A73FEB">
        <w:t xml:space="preserve"> (</w:t>
      </w:r>
      <w:r w:rsidRPr="005F696A">
        <w:t>PUD 1.1.1.g</w:t>
      </w:r>
      <w:r w:rsidRPr="00A73FEB">
        <w:t>);</w:t>
      </w:r>
    </w:p>
    <w:p w:rsidR="00A73FEB" w:rsidP="00124CD6" w14:paraId="2C11D4E7" w14:textId="77777777">
      <w:pPr>
        <w:pStyle w:val="BulletF"/>
      </w:pPr>
      <w:r>
        <w:t>c</w:t>
      </w:r>
      <w:r w:rsidRPr="005F696A">
        <w:t>iti pētījuma specifikai atbilstoši projekta rezultāti (t.sk. dati</w:t>
      </w:r>
      <w:r w:rsidRPr="00A73FEB">
        <w:t>), (</w:t>
      </w:r>
      <w:r w:rsidRPr="005F696A">
        <w:t>PUD 1.1.1.h</w:t>
      </w:r>
      <w:r w:rsidRPr="00A73FEB">
        <w:t>).</w:t>
      </w:r>
    </w:p>
    <w:p w:rsidR="00851201" w:rsidP="00D14E3E" w14:paraId="43217E61" w14:textId="77777777">
      <w:pPr>
        <w:pStyle w:val="BulletF"/>
        <w:numPr>
          <w:ilvl w:val="0"/>
          <w:numId w:val="0"/>
        </w:numPr>
        <w:ind w:left="567"/>
      </w:pPr>
      <w:bookmarkStart w:id="45" w:name="_Ref490742568"/>
      <w:bookmarkStart w:id="46" w:name="_Ref494274883"/>
      <w:bookmarkStart w:id="47" w:name="_Ref490741766"/>
      <w:r>
        <w:rPr>
          <w:noProof/>
          <w:lang w:eastAsia="lv-LV" w:bidi="ar-SA"/>
        </w:rPr>
        <mc:AlternateContent>
          <mc:Choice Requires="wps">
            <w:drawing>
              <wp:anchor distT="0" distB="0" distL="114300" distR="114300" simplePos="0" relativeHeight="251672576" behindDoc="0" locked="0" layoutInCell="1" allowOverlap="1">
                <wp:simplePos x="0" y="0"/>
                <wp:positionH relativeFrom="column">
                  <wp:posOffset>2387600</wp:posOffset>
                </wp:positionH>
                <wp:positionV relativeFrom="paragraph">
                  <wp:posOffset>3874135</wp:posOffset>
                </wp:positionV>
                <wp:extent cx="204470" cy="88265"/>
                <wp:effectExtent l="19050" t="19050" r="24130" b="45085"/>
                <wp:wrapNone/>
                <wp:docPr id="15" name="Left Arrow 15"/>
                <wp:cNvGraphicFramePr/>
                <a:graphic xmlns:a="http://schemas.openxmlformats.org/drawingml/2006/main">
                  <a:graphicData uri="http://schemas.microsoft.com/office/word/2010/wordprocessingShape">
                    <wps:wsp xmlns:wps="http://schemas.microsoft.com/office/word/2010/wordprocessingShape">
                      <wps:cNvSpPr/>
                      <wps:spPr>
                        <a:xfrm>
                          <a:off x="0" y="0"/>
                          <a:ext cx="204470" cy="882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30" type="#_x0000_t66" style="width:16.1pt;height:6.95pt;margin-top:305.05pt;margin-left:188pt;mso-wrap-distance-bottom:0;mso-wrap-distance-left:9pt;mso-wrap-distance-right:9pt;mso-wrap-distance-top:0;mso-wrap-style:square;position:absolute;visibility:visible;v-text-anchor:middle;z-index:251673600" adj="4662" fillcolor="#d34817" strokecolor="#68230b" strokeweight="1pt"/>
            </w:pict>
          </mc:Fallback>
        </mc:AlternateContent>
      </w:r>
      <w:r>
        <w:rPr>
          <w:noProof/>
          <w:lang w:eastAsia="lv-LV" w:bidi="ar-SA"/>
        </w:rPr>
        <mc:AlternateContent>
          <mc:Choice Requires="wps">
            <w:drawing>
              <wp:anchor distT="0" distB="0" distL="114300" distR="114300" simplePos="0" relativeHeight="251670528" behindDoc="0" locked="0" layoutInCell="1" allowOverlap="1">
                <wp:simplePos x="0" y="0"/>
                <wp:positionH relativeFrom="column">
                  <wp:posOffset>2390140</wp:posOffset>
                </wp:positionH>
                <wp:positionV relativeFrom="paragraph">
                  <wp:posOffset>3178175</wp:posOffset>
                </wp:positionV>
                <wp:extent cx="204470" cy="88265"/>
                <wp:effectExtent l="19050" t="19050" r="24130" b="45085"/>
                <wp:wrapNone/>
                <wp:docPr id="14" name="Left Arrow 1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882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Left Arrow 14" o:spid="_x0000_s1031" type="#_x0000_t66" style="width:16.1pt;height:6.95pt;margin-top:250.25pt;margin-left:188.2pt;mso-wrap-distance-bottom:0;mso-wrap-distance-left:9pt;mso-wrap-distance-right:9pt;mso-wrap-distance-top:0;mso-wrap-style:square;position:absolute;visibility:visible;v-text-anchor:middle;z-index:251671552" adj="4662" fillcolor="#d34817" strokecolor="#68230b" strokeweight="1pt"/>
            </w:pict>
          </mc:Fallback>
        </mc:AlternateContent>
      </w:r>
      <w:r>
        <w:rPr>
          <w:noProof/>
          <w:lang w:eastAsia="lv-LV" w:bidi="ar-SA"/>
        </w:rPr>
        <mc:AlternateContent>
          <mc:Choice Requires="wps">
            <w:drawing>
              <wp:anchor distT="0" distB="0" distL="114300" distR="114300" simplePos="0" relativeHeight="251668480" behindDoc="0" locked="0" layoutInCell="1" allowOverlap="1">
                <wp:simplePos x="0" y="0"/>
                <wp:positionH relativeFrom="column">
                  <wp:posOffset>2388870</wp:posOffset>
                </wp:positionH>
                <wp:positionV relativeFrom="paragraph">
                  <wp:posOffset>2479040</wp:posOffset>
                </wp:positionV>
                <wp:extent cx="204470" cy="88265"/>
                <wp:effectExtent l="19050" t="19050" r="24130" b="45085"/>
                <wp:wrapNone/>
                <wp:docPr id="11" name="Left Arrow 11"/>
                <wp:cNvGraphicFramePr/>
                <a:graphic xmlns:a="http://schemas.openxmlformats.org/drawingml/2006/main">
                  <a:graphicData uri="http://schemas.microsoft.com/office/word/2010/wordprocessingShape">
                    <wps:wsp xmlns:wps="http://schemas.microsoft.com/office/word/2010/wordprocessingShape">
                      <wps:cNvSpPr/>
                      <wps:spPr>
                        <a:xfrm>
                          <a:off x="0" y="0"/>
                          <a:ext cx="204470" cy="882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Left Arrow 11" o:spid="_x0000_s1032" type="#_x0000_t66" style="width:16.1pt;height:6.95pt;margin-top:195.2pt;margin-left:188.1pt;mso-wrap-distance-bottom:0;mso-wrap-distance-left:9pt;mso-wrap-distance-right:9pt;mso-wrap-distance-top:0;mso-wrap-style:square;position:absolute;visibility:visible;v-text-anchor:middle;z-index:251669504" adj="4662" fillcolor="#d34817" strokecolor="#68230b" strokeweight="1pt"/>
            </w:pict>
          </mc:Fallback>
        </mc:AlternateContent>
      </w:r>
      <w:r>
        <w:rPr>
          <w:noProof/>
          <w:lang w:eastAsia="lv-LV" w:bidi="ar-SA"/>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1759585</wp:posOffset>
                </wp:positionV>
                <wp:extent cx="204470" cy="88265"/>
                <wp:effectExtent l="19050" t="19050" r="24130" b="45085"/>
                <wp:wrapNone/>
                <wp:docPr id="10" name="Left Arrow 10"/>
                <wp:cNvGraphicFramePr/>
                <a:graphic xmlns:a="http://schemas.openxmlformats.org/drawingml/2006/main">
                  <a:graphicData uri="http://schemas.microsoft.com/office/word/2010/wordprocessingShape">
                    <wps:wsp xmlns:wps="http://schemas.microsoft.com/office/word/2010/wordprocessingShape">
                      <wps:cNvSpPr/>
                      <wps:spPr>
                        <a:xfrm>
                          <a:off x="0" y="0"/>
                          <a:ext cx="204470" cy="882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Left Arrow 10" o:spid="_x0000_s1033" type="#_x0000_t66" style="width:16.1pt;height:6.95pt;margin-top:138.55pt;margin-left:187.6pt;mso-wrap-distance-bottom:0;mso-wrap-distance-left:9pt;mso-wrap-distance-right:9pt;mso-wrap-distance-top:0;mso-wrap-style:square;position:absolute;visibility:visible;v-text-anchor:middle;z-index:251667456" adj="4662" fillcolor="#d34817" strokecolor="#68230b" strokeweight="1pt"/>
            </w:pict>
          </mc:Fallback>
        </mc:AlternateContent>
      </w:r>
      <w:r>
        <w:rPr>
          <w:noProof/>
          <w:lang w:eastAsia="lv-LV" w:bidi="ar-SA"/>
        </w:rPr>
        <mc:AlternateContent>
          <mc:Choice Requires="wps">
            <w:drawing>
              <wp:anchor distT="0" distB="0" distL="114300" distR="114300" simplePos="0" relativeHeight="251664384" behindDoc="0" locked="0" layoutInCell="1" allowOverlap="1">
                <wp:simplePos x="0" y="0"/>
                <wp:positionH relativeFrom="column">
                  <wp:posOffset>2386965</wp:posOffset>
                </wp:positionH>
                <wp:positionV relativeFrom="paragraph">
                  <wp:posOffset>1022350</wp:posOffset>
                </wp:positionV>
                <wp:extent cx="205047" cy="88669"/>
                <wp:effectExtent l="19050" t="19050" r="24130" b="45085"/>
                <wp:wrapNone/>
                <wp:docPr id="6" name="Left Arrow 6"/>
                <wp:cNvGraphicFramePr/>
                <a:graphic xmlns:a="http://schemas.openxmlformats.org/drawingml/2006/main">
                  <a:graphicData uri="http://schemas.microsoft.com/office/word/2010/wordprocessingShape">
                    <wps:wsp xmlns:wps="http://schemas.microsoft.com/office/word/2010/wordprocessingShape">
                      <wps:cNvSpPr/>
                      <wps:spPr>
                        <a:xfrm>
                          <a:off x="0" y="0"/>
                          <a:ext cx="205047" cy="8866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Left Arrow 6" o:spid="_x0000_s1034" type="#_x0000_t66" style="width:16.15pt;height:7pt;margin-top:80.5pt;margin-left:187.95pt;mso-wrap-distance-bottom:0;mso-wrap-distance-left:9pt;mso-wrap-distance-right:9pt;mso-wrap-distance-top:0;mso-wrap-style:square;position:absolute;visibility:visible;v-text-anchor:middle;z-index:251665408" adj="4670" fillcolor="#d34817" strokecolor="#68230b" strokeweight="1pt"/>
            </w:pict>
          </mc:Fallback>
        </mc:AlternateContent>
      </w:r>
      <w:r>
        <w:rPr>
          <w:noProof/>
          <w:lang w:eastAsia="lv-LV" w:bidi="ar-SA"/>
        </w:rPr>
        <w:drawing>
          <wp:inline distT="0" distB="0" distL="0" distR="0">
            <wp:extent cx="5524821" cy="4264639"/>
            <wp:effectExtent l="19050" t="0" r="19050" b="41275"/>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51201" w:rsidRPr="00D8752B" w:rsidP="00851201" w14:paraId="76FA2E9E" w14:textId="37036B3D">
      <w:pPr>
        <w:pStyle w:val="Caption"/>
      </w:pPr>
      <w:bookmarkStart w:id="48" w:name="_Ref495562502"/>
      <w:r>
        <w:fldChar w:fldCharType="begin"/>
      </w:r>
      <w:r>
        <w:instrText xml:space="preserve"> SEQ attēls \* ARABIC </w:instrText>
      </w:r>
      <w:r>
        <w:fldChar w:fldCharType="separate"/>
      </w:r>
      <w:r>
        <w:t>2</w:t>
      </w:r>
      <w:r>
        <w:rPr>
          <w:noProof/>
        </w:rPr>
        <w:fldChar w:fldCharType="end"/>
      </w:r>
      <w:r>
        <w:t xml:space="preserve">. </w:t>
      </w:r>
      <w:bookmarkEnd w:id="45"/>
      <w:r>
        <w:t>attēls</w:t>
      </w:r>
      <w:bookmarkEnd w:id="46"/>
      <w:bookmarkEnd w:id="48"/>
      <w:r>
        <w:t>. Virzība uz RIS3 mērķu sasniegšanu</w:t>
      </w:r>
      <w:bookmarkEnd w:id="47"/>
      <w:r>
        <w:t xml:space="preserve"> </w:t>
      </w:r>
    </w:p>
    <w:p w:rsidR="007A3E18" w:rsidRPr="00D101A1" w:rsidP="00EB77A4" w14:paraId="76DB6C5D" w14:textId="77777777">
      <w:pPr>
        <w:pStyle w:val="Heading1"/>
      </w:pPr>
      <w:bookmarkStart w:id="49" w:name="_Toc494727601"/>
      <w:bookmarkStart w:id="50" w:name="_Toc499019514"/>
      <w:bookmarkStart w:id="51" w:name="_Toc505086370"/>
      <w:bookmarkStart w:id="52" w:name="_Toc256000008"/>
      <w:bookmarkStart w:id="53" w:name="_Toc256000035"/>
      <w:r>
        <w:t>2</w:t>
      </w:r>
      <w:r w:rsidRPr="00D101A1" w:rsidR="00CB311D">
        <w:t>. </w:t>
      </w:r>
      <w:r w:rsidRPr="00D101A1" w:rsidR="007B1047">
        <w:t>SAM 1.1.1. pasākumu</w:t>
      </w:r>
      <w:r w:rsidRPr="00D101A1">
        <w:t xml:space="preserve"> </w:t>
      </w:r>
      <w:r w:rsidRPr="00D101A1" w:rsidR="00787418">
        <w:t>īstenošanas</w:t>
      </w:r>
      <w:r w:rsidRPr="00D101A1" w:rsidR="00CB311D">
        <w:t xml:space="preserve"> analīze</w:t>
      </w:r>
      <w:bookmarkEnd w:id="53"/>
      <w:bookmarkEnd w:id="52"/>
      <w:bookmarkEnd w:id="49"/>
      <w:bookmarkEnd w:id="50"/>
      <w:bookmarkEnd w:id="51"/>
    </w:p>
    <w:p w:rsidR="008566C1" w:rsidRPr="008566C1" w:rsidP="008566C1" w14:paraId="5AD92D7C" w14:textId="77777777">
      <w:pPr>
        <w:pStyle w:val="Heading2"/>
      </w:pPr>
      <w:bookmarkStart w:id="54" w:name="_Toc494727602"/>
      <w:bookmarkStart w:id="55" w:name="_Toc499019515"/>
      <w:bookmarkStart w:id="56" w:name="_Toc505086371"/>
      <w:bookmarkStart w:id="57" w:name="_Toc256000009"/>
      <w:bookmarkStart w:id="58" w:name="_Toc256000036"/>
      <w:r>
        <w:t>2.1. </w:t>
      </w:r>
      <w:r w:rsidR="00F625A8">
        <w:t>Pētniecības p</w:t>
      </w:r>
      <w:r>
        <w:t>rojektu iesniegumu atlase</w:t>
      </w:r>
      <w:bookmarkEnd w:id="58"/>
      <w:bookmarkEnd w:id="57"/>
      <w:bookmarkEnd w:id="54"/>
      <w:bookmarkEnd w:id="55"/>
      <w:bookmarkEnd w:id="56"/>
    </w:p>
    <w:p w:rsidR="007511D2" w:rsidRPr="00FC30AF" w:rsidP="008961F0" w14:paraId="58B2D812" w14:textId="77777777">
      <w:pPr>
        <w:pStyle w:val="Heading3"/>
        <w:rPr>
          <w:rStyle w:val="BulletsFChar"/>
        </w:rPr>
      </w:pPr>
      <w:bookmarkStart w:id="59" w:name="_Toc499019516"/>
      <w:bookmarkStart w:id="60" w:name="_Toc505086372"/>
      <w:bookmarkStart w:id="61" w:name="_Toc256000010"/>
      <w:bookmarkStart w:id="62" w:name="_Toc256000037"/>
      <w:r>
        <w:rPr>
          <w:rStyle w:val="BulletsFChar"/>
        </w:rPr>
        <w:t>2.1.1. </w:t>
      </w:r>
      <w:r w:rsidRPr="002E12C1">
        <w:rPr>
          <w:rStyle w:val="BulletsFChar"/>
        </w:rPr>
        <w:t xml:space="preserve">Praktiskas ievirzes </w:t>
      </w:r>
      <w:r w:rsidRPr="00FC30AF">
        <w:rPr>
          <w:rStyle w:val="BulletsFChar"/>
        </w:rPr>
        <w:t>pētījumi</w:t>
      </w:r>
      <w:bookmarkEnd w:id="62"/>
      <w:bookmarkEnd w:id="61"/>
      <w:bookmarkEnd w:id="59"/>
      <w:bookmarkEnd w:id="60"/>
    </w:p>
    <w:p w:rsidR="00E3228F" w:rsidP="006B51BA" w14:paraId="60180533" w14:textId="77777777">
      <w:pPr>
        <w:spacing w:after="0"/>
        <w:rPr>
          <w:rFonts w:ascii="Helvetica" w:hAnsi="Helvetica"/>
          <w:sz w:val="18"/>
          <w:szCs w:val="18"/>
        </w:rPr>
      </w:pPr>
      <w:r w:rsidRPr="00864377">
        <w:rPr>
          <w:rStyle w:val="BulletsFChar"/>
        </w:rPr>
        <w:t>Praktiskas ievirzes pētījumu</w:t>
      </w:r>
      <w:r>
        <w:rPr>
          <w:rStyle w:val="BulletsFChar"/>
        </w:rPr>
        <w:t xml:space="preserve"> </w:t>
      </w:r>
      <w:r w:rsidR="005C1071">
        <w:rPr>
          <w:rStyle w:val="BulletsFChar"/>
        </w:rPr>
        <w:t>programmas</w:t>
      </w:r>
      <w:r w:rsidRPr="00F77DD2" w:rsidR="005C1071">
        <w:rPr>
          <w:rStyle w:val="BulletsFChar"/>
        </w:rPr>
        <w:t xml:space="preserve"> </w:t>
      </w:r>
      <w:r w:rsidR="006B51BA">
        <w:rPr>
          <w:szCs w:val="24"/>
        </w:rPr>
        <w:t>pirmā atlases kārta tika izsludināta 2016.</w:t>
      </w:r>
      <w:r w:rsidR="00FC416A">
        <w:rPr>
          <w:szCs w:val="24"/>
        </w:rPr>
        <w:t xml:space="preserve"> </w:t>
      </w:r>
      <w:r w:rsidR="006B51BA">
        <w:rPr>
          <w:szCs w:val="24"/>
        </w:rPr>
        <w:t xml:space="preserve">gada </w:t>
      </w:r>
      <w:r>
        <w:rPr>
          <w:szCs w:val="24"/>
        </w:rPr>
        <w:t>7</w:t>
      </w:r>
      <w:r w:rsidR="006B51BA">
        <w:rPr>
          <w:szCs w:val="24"/>
        </w:rPr>
        <w:t>.</w:t>
      </w:r>
      <w:r w:rsidR="00FC416A">
        <w:rPr>
          <w:szCs w:val="24"/>
        </w:rPr>
        <w:t xml:space="preserve"> </w:t>
      </w:r>
      <w:r>
        <w:rPr>
          <w:szCs w:val="24"/>
        </w:rPr>
        <w:t>aprīlī</w:t>
      </w:r>
      <w:r w:rsidR="00AD214C">
        <w:rPr>
          <w:szCs w:val="24"/>
        </w:rPr>
        <w:t>, nosakot, ka</w:t>
      </w:r>
      <w:r w:rsidR="006B51BA">
        <w:rPr>
          <w:szCs w:val="24"/>
        </w:rPr>
        <w:t xml:space="preserve"> </w:t>
      </w:r>
      <w:r>
        <w:rPr>
          <w:szCs w:val="24"/>
        </w:rPr>
        <w:t>projektu iesniegumu iesniegšanas termiņš</w:t>
      </w:r>
      <w:r w:rsidR="00AD214C">
        <w:rPr>
          <w:szCs w:val="24"/>
        </w:rPr>
        <w:t xml:space="preserve"> </w:t>
      </w:r>
      <w:r w:rsidRPr="00625B16" w:rsidR="00AD214C">
        <w:rPr>
          <w:rFonts w:cs="Times New Roman"/>
          <w:szCs w:val="24"/>
        </w:rPr>
        <w:t>ir</w:t>
      </w:r>
      <w:r w:rsidRPr="00625B16">
        <w:rPr>
          <w:rFonts w:cs="Times New Roman"/>
          <w:szCs w:val="24"/>
        </w:rPr>
        <w:t xml:space="preserve"> </w:t>
      </w:r>
      <w:r w:rsidRPr="00625B16">
        <w:rPr>
          <w:rFonts w:cs="Times New Roman"/>
        </w:rPr>
        <w:t xml:space="preserve">no </w:t>
      </w:r>
      <w:r w:rsidRPr="00625B16">
        <w:rPr>
          <w:rFonts w:cs="Times New Roman"/>
          <w:bCs/>
        </w:rPr>
        <w:t>2016. gada 7. aprīļa</w:t>
      </w:r>
      <w:r w:rsidRPr="00625B16">
        <w:rPr>
          <w:rFonts w:cs="Times New Roman"/>
        </w:rPr>
        <w:t xml:space="preserve"> līdz </w:t>
      </w:r>
      <w:r w:rsidRPr="00625B16">
        <w:rPr>
          <w:rFonts w:cs="Times New Roman"/>
          <w:bCs/>
        </w:rPr>
        <w:t>2016. gada 8. jūnijam.</w:t>
      </w:r>
      <w:r w:rsidRPr="00E3228F">
        <w:rPr>
          <w:rFonts w:ascii="Helvetica" w:hAnsi="Helvetica"/>
          <w:sz w:val="18"/>
          <w:szCs w:val="18"/>
        </w:rPr>
        <w:t xml:space="preserve"> </w:t>
      </w:r>
    </w:p>
    <w:p w:rsidR="00B111C4" w:rsidP="00C20465" w14:paraId="148C6D7E" w14:textId="77777777">
      <w:pPr>
        <w:spacing w:after="0"/>
        <w:rPr>
          <w:szCs w:val="24"/>
        </w:rPr>
      </w:pPr>
      <w:r w:rsidRPr="00C20465">
        <w:rPr>
          <w:szCs w:val="24"/>
        </w:rPr>
        <w:t xml:space="preserve">Lai nodrošinātu kvalitatīvu projektu iesniegumu atlasi, CFLA organizēja semināru ciklu par </w:t>
      </w:r>
      <w:r w:rsidRPr="00864377" w:rsidR="00D41EEC">
        <w:rPr>
          <w:rStyle w:val="BulletsFChar"/>
        </w:rPr>
        <w:t>Praktiskas i</w:t>
      </w:r>
      <w:r w:rsidRPr="00864377" w:rsidR="00FC30AF">
        <w:rPr>
          <w:rStyle w:val="BulletsFChar"/>
        </w:rPr>
        <w:t xml:space="preserve">evirzes pētījumu </w:t>
      </w:r>
      <w:r w:rsidRPr="00864377" w:rsidR="005C1071">
        <w:rPr>
          <w:rStyle w:val="BulletsFChar"/>
        </w:rPr>
        <w:t>programmas</w:t>
      </w:r>
      <w:r w:rsidRPr="00F77DD2" w:rsidR="005C1071">
        <w:rPr>
          <w:rStyle w:val="BulletsFChar"/>
        </w:rPr>
        <w:t xml:space="preserve"> </w:t>
      </w:r>
      <w:r w:rsidRPr="00864377" w:rsidR="00E4788F">
        <w:rPr>
          <w:szCs w:val="24"/>
        </w:rPr>
        <w:t>īstenošanas nosacījumiem</w:t>
      </w:r>
      <w:r w:rsidR="00E4788F">
        <w:rPr>
          <w:szCs w:val="24"/>
        </w:rPr>
        <w:t>.</w:t>
      </w:r>
      <w:r w:rsidRPr="00C20465">
        <w:rPr>
          <w:szCs w:val="24"/>
        </w:rPr>
        <w:t xml:space="preserve"> </w:t>
      </w:r>
      <w:r w:rsidR="00E4788F">
        <w:rPr>
          <w:szCs w:val="24"/>
        </w:rPr>
        <w:t>Semināri</w:t>
      </w:r>
      <w:r w:rsidRPr="00C20465">
        <w:rPr>
          <w:szCs w:val="24"/>
        </w:rPr>
        <w:t xml:space="preserve"> norisinājās Latvijas Universitātē </w:t>
      </w:r>
      <w:r w:rsidRPr="00C20465" w:rsidR="00C20465">
        <w:rPr>
          <w:szCs w:val="24"/>
        </w:rPr>
        <w:t xml:space="preserve">(2016.gada 29. aprīļa semināra norise LU </w:t>
      </w:r>
      <w:r w:rsidR="00036EBB">
        <w:rPr>
          <w:szCs w:val="24"/>
        </w:rPr>
        <w:t>tika translēta</w:t>
      </w:r>
      <w:r w:rsidR="00553D03">
        <w:rPr>
          <w:szCs w:val="24"/>
        </w:rPr>
        <w:t xml:space="preserve"> video tiešsaistē, pašlaik</w:t>
      </w:r>
      <w:r w:rsidRPr="00C20465" w:rsidR="00C20465">
        <w:rPr>
          <w:szCs w:val="24"/>
        </w:rPr>
        <w:t xml:space="preserve"> pieejama: </w:t>
      </w:r>
      <w:r>
        <w:fldChar w:fldCharType="begin"/>
      </w:r>
      <w:r>
        <w:instrText xml:space="preserve"> HYPERLINK "https://www.youtube.com/playlist?list=PLgIzhf6cAC8A-1ccNiPawEvJilgZtd_I3" \t "_blank" </w:instrText>
      </w:r>
      <w:r>
        <w:fldChar w:fldCharType="separate"/>
      </w:r>
      <w:r w:rsidRPr="00C20465" w:rsidR="00C20465">
        <w:rPr>
          <w:i/>
          <w:szCs w:val="24"/>
        </w:rPr>
        <w:t>Youtube.com</w:t>
      </w:r>
      <w:r>
        <w:fldChar w:fldCharType="end"/>
      </w:r>
      <w:r w:rsidRPr="00C20465" w:rsidR="00C20465">
        <w:rPr>
          <w:i/>
          <w:szCs w:val="24"/>
        </w:rPr>
        <w:t xml:space="preserve">), </w:t>
      </w:r>
      <w:r w:rsidRPr="00C20465" w:rsidR="00C20465">
        <w:rPr>
          <w:szCs w:val="24"/>
        </w:rPr>
        <w:t xml:space="preserve">Daugavpils Universitātē, </w:t>
      </w:r>
      <w:r w:rsidRPr="00C20465">
        <w:rPr>
          <w:szCs w:val="24"/>
        </w:rPr>
        <w:t>Latvijas Lauksaimniecības universitātē un Rīgas Tehniskajā universitātē </w:t>
      </w:r>
      <w:r w:rsidRPr="00C20465" w:rsidR="00C20465">
        <w:rPr>
          <w:szCs w:val="24"/>
        </w:rPr>
        <w:t xml:space="preserve">. </w:t>
      </w:r>
      <w:r w:rsidRPr="00C20465">
        <w:rPr>
          <w:szCs w:val="24"/>
        </w:rPr>
        <w:t>Seminār</w:t>
      </w:r>
      <w:r w:rsidR="00C20465">
        <w:rPr>
          <w:szCs w:val="24"/>
        </w:rPr>
        <w:t>u</w:t>
      </w:r>
      <w:r w:rsidRPr="00C20465">
        <w:rPr>
          <w:szCs w:val="24"/>
        </w:rPr>
        <w:t xml:space="preserve"> programmā</w:t>
      </w:r>
      <w:r w:rsidR="00C20465">
        <w:rPr>
          <w:szCs w:val="24"/>
        </w:rPr>
        <w:t xml:space="preserve"> tika iekļauta </w:t>
      </w:r>
      <w:r w:rsidRPr="00C20465">
        <w:rPr>
          <w:szCs w:val="24"/>
        </w:rPr>
        <w:t>informācija par nosacījumiem atbalsta saņemšanai, projekta iesnieguma sagatavošan</w:t>
      </w:r>
      <w:r w:rsidR="00E4788F">
        <w:rPr>
          <w:szCs w:val="24"/>
        </w:rPr>
        <w:t>u</w:t>
      </w:r>
      <w:r w:rsidRPr="00C20465">
        <w:rPr>
          <w:szCs w:val="24"/>
        </w:rPr>
        <w:t xml:space="preserve"> un iesnieguma veidlapas aizpildīšan</w:t>
      </w:r>
      <w:r w:rsidR="00E4788F">
        <w:rPr>
          <w:szCs w:val="24"/>
        </w:rPr>
        <w:t>u</w:t>
      </w:r>
      <w:r w:rsidRPr="00C20465">
        <w:rPr>
          <w:szCs w:val="24"/>
        </w:rPr>
        <w:t>, Eiropas Savienības fondu projektu e-vides lietošanu.</w:t>
      </w:r>
    </w:p>
    <w:p w:rsidR="002A07BA" w:rsidP="002A07BA" w14:paraId="6A5126D4" w14:textId="77777777">
      <w:pPr>
        <w:spacing w:after="0"/>
      </w:pPr>
      <w:r>
        <w:rPr>
          <w:szCs w:val="24"/>
        </w:rPr>
        <w:t>Pēc CFLA rīcībā esošās informācijas semināros piedalījās vairāk nekā 400 interesenti.</w:t>
      </w:r>
    </w:p>
    <w:p w:rsidR="00981D33" w:rsidP="00981D33" w14:paraId="464B8BBA" w14:textId="77777777">
      <w:pPr>
        <w:ind w:right="85"/>
        <w:rPr>
          <w:bCs/>
          <w:spacing w:val="-2"/>
          <w:szCs w:val="24"/>
        </w:rPr>
      </w:pPr>
      <w:r>
        <w:rPr>
          <w:bCs/>
          <w:spacing w:val="-2"/>
          <w:szCs w:val="24"/>
        </w:rPr>
        <w:t xml:space="preserve">Lai nodrošinātu pētniecības projektu iesniegumu atlasi CFLA izstrādāja </w:t>
      </w:r>
      <w:r w:rsidRPr="002E12C1" w:rsidR="00FC30AF">
        <w:rPr>
          <w:rStyle w:val="BulletsFChar"/>
        </w:rPr>
        <w:t>Praktiskas i</w:t>
      </w:r>
      <w:r w:rsidR="00FC30AF">
        <w:rPr>
          <w:rStyle w:val="BulletsFChar"/>
        </w:rPr>
        <w:t>evirzes pētījumu</w:t>
      </w:r>
      <w:r w:rsidRPr="00F77DD2" w:rsidR="00FC30AF">
        <w:rPr>
          <w:rStyle w:val="BulletsFChar"/>
        </w:rPr>
        <w:t xml:space="preserve"> </w:t>
      </w:r>
      <w:r w:rsidRPr="00A000DF">
        <w:rPr>
          <w:bCs/>
          <w:spacing w:val="-2"/>
          <w:szCs w:val="24"/>
        </w:rPr>
        <w:t>projektu iesniegumu atlases nolikum</w:t>
      </w:r>
      <w:r>
        <w:rPr>
          <w:bCs/>
          <w:spacing w:val="-2"/>
          <w:szCs w:val="24"/>
        </w:rPr>
        <w:t>u</w:t>
      </w:r>
      <w:r w:rsidRPr="00A000DF">
        <w:rPr>
          <w:bCs/>
          <w:spacing w:val="-2"/>
          <w:szCs w:val="24"/>
        </w:rPr>
        <w:t xml:space="preserve"> (turpmāk – atlases nolikums)</w:t>
      </w:r>
      <w:r>
        <w:rPr>
          <w:bCs/>
          <w:spacing w:val="-2"/>
          <w:szCs w:val="24"/>
        </w:rPr>
        <w:t>, kurā noteica:</w:t>
      </w:r>
    </w:p>
    <w:p w:rsidR="00981D33" w:rsidP="00160F57" w14:paraId="5B3C29F2" w14:textId="77777777">
      <w:pPr>
        <w:pStyle w:val="ListParagraph"/>
      </w:pPr>
      <w:r>
        <w:t>1. p</w:t>
      </w:r>
      <w:r w:rsidRPr="00A233C9">
        <w:t>rojektu iesniegumu noformēšanas un iesniegšanas kārtību</w:t>
      </w:r>
      <w:r>
        <w:t>;</w:t>
      </w:r>
    </w:p>
    <w:p w:rsidR="00981D33" w:rsidP="00160F57" w14:paraId="2E221EC7" w14:textId="77777777">
      <w:pPr>
        <w:pStyle w:val="ListParagraph"/>
      </w:pPr>
      <w:r>
        <w:t xml:space="preserve">2. kārtību, kādā vērtē </w:t>
      </w:r>
      <w:r w:rsidRPr="00A233C9">
        <w:t>pētniecības projektu iesniegumus</w:t>
      </w:r>
      <w:r>
        <w:t>. Kārtība paredz, ka:</w:t>
      </w:r>
    </w:p>
    <w:p w:rsidR="00981D33" w:rsidP="00124CD6" w14:paraId="6E03876A" w14:textId="77777777">
      <w:pPr>
        <w:pStyle w:val="BulletF"/>
      </w:pPr>
      <w:r>
        <w:t>CFLA projektu iesniegumu vērtēšanai piesaista Eiropas Komisijas ekspertu datubāzē iekļautus ekspertus (turpmāk – EK eksperts</w:t>
      </w:r>
      <w:r w:rsidR="00625B16">
        <w:t>)</w:t>
      </w:r>
      <w:r>
        <w:t>;</w:t>
      </w:r>
    </w:p>
    <w:p w:rsidR="00981D33" w:rsidP="00124CD6" w14:paraId="186EE685" w14:textId="77777777">
      <w:pPr>
        <w:pStyle w:val="BulletF"/>
      </w:pPr>
      <w:r>
        <w:t>katru projekta iesniegumu vērtē divi EK eksperti, atbilstoši projektu iesniegumu vērtēšanas kvalitātes kritērijiem (atlases nolikuma 3.</w:t>
      </w:r>
      <w:r w:rsidR="00FC416A">
        <w:t xml:space="preserve"> </w:t>
      </w:r>
      <w:r>
        <w:t>pielikums), izmantojot pētniecības projektu iesniegumu vērtēšanas kritēriju piemērošanas metodiku (atlases nolikuma 4. pielikums) un sniedzot EK ekspertu atzinumu atbilstoši EK ekspertu kvalitātes vērtēšanas standartformai;</w:t>
      </w:r>
    </w:p>
    <w:p w:rsidR="00981D33" w:rsidP="00981D33" w14:paraId="718E3D47" w14:textId="77777777">
      <w:pPr>
        <w:pStyle w:val="BulletA"/>
      </w:pPr>
      <w:r>
        <w:t>ja ekspertu vērtējumi atšķiras mazāk kā par 50%, vērā tiek ņemts vidējais aritmētiskais vērtējums;</w:t>
      </w:r>
    </w:p>
    <w:p w:rsidR="00981D33" w:rsidP="00981D33" w14:paraId="78D1B923" w14:textId="77777777">
      <w:pPr>
        <w:pStyle w:val="BulletA"/>
      </w:pPr>
      <w:r>
        <w:t>ja ekspertu vērtējumi atšķiras par vairāk nekā 50%, tiek nodrošināts konsolidētais zinātniskais izvērtējums;</w:t>
      </w:r>
    </w:p>
    <w:p w:rsidR="00C44A05" w:rsidP="00160F57" w14:paraId="20B866BB" w14:textId="77777777">
      <w:pPr>
        <w:pStyle w:val="ListParagraph"/>
      </w:pPr>
      <w:r>
        <w:t xml:space="preserve">3. kārtību, kādā pieņem lēmumu </w:t>
      </w:r>
      <w:r w:rsidRPr="001C2528">
        <w:t>par projekta iesnieguma apstiprināšanu, apstiprināšanu ar nosacījumu vai noraidīšanu</w:t>
      </w:r>
      <w:r>
        <w:t>;</w:t>
      </w:r>
    </w:p>
    <w:p w:rsidR="00981D33" w:rsidP="00160F57" w14:paraId="5D49E6E1" w14:textId="77777777">
      <w:pPr>
        <w:pStyle w:val="ListParagraph"/>
      </w:pPr>
      <w:r>
        <w:t>4. </w:t>
      </w:r>
      <w:r w:rsidRPr="001C2528">
        <w:t>paziņošanas kārtīb</w:t>
      </w:r>
      <w:r>
        <w:t>u.</w:t>
      </w:r>
    </w:p>
    <w:p w:rsidR="00981D33" w:rsidP="00981D33" w14:paraId="772B227F" w14:textId="77777777">
      <w:r w:rsidRPr="001C2528">
        <w:t xml:space="preserve">Lai nodrošinātu savlaicīgu un kvalitatīvu EK ekspertu apzināšanu, </w:t>
      </w:r>
      <w:r>
        <w:t>CFLA</w:t>
      </w:r>
      <w:r w:rsidRPr="001C2528">
        <w:t xml:space="preserve"> aicin</w:t>
      </w:r>
      <w:r>
        <w:t>āja</w:t>
      </w:r>
      <w:r w:rsidRPr="001C2528">
        <w:t xml:space="preserve"> </w:t>
      </w:r>
      <w:r>
        <w:t xml:space="preserve">pētniecības </w:t>
      </w:r>
      <w:r w:rsidRPr="001C2528">
        <w:t>projekta iesniedzējus līdz 2016.</w:t>
      </w:r>
      <w:r w:rsidR="00FC416A">
        <w:t xml:space="preserve"> </w:t>
      </w:r>
      <w:r w:rsidRPr="001C2528">
        <w:t>gada 6.</w:t>
      </w:r>
      <w:r w:rsidR="00FC416A">
        <w:t xml:space="preserve"> </w:t>
      </w:r>
      <w:r w:rsidRPr="001C2528">
        <w:t>maijam iesniegt īsu projekta iesnieguma kopsavilkumu latviešu un angļu valodā</w:t>
      </w:r>
      <w:r>
        <w:t>, kas</w:t>
      </w:r>
      <w:r w:rsidRPr="001C2528">
        <w:t xml:space="preserve"> ietver projekta būtību raksturojošus atslēgvārdus.</w:t>
      </w:r>
    </w:p>
    <w:p w:rsidR="00981D33" w:rsidP="00981D33" w14:paraId="4CD75D65" w14:textId="77777777">
      <w:pPr>
        <w:spacing w:after="0"/>
        <w:rPr>
          <w:szCs w:val="24"/>
        </w:rPr>
      </w:pPr>
      <w:r w:rsidRPr="001458F3">
        <w:rPr>
          <w:szCs w:val="24"/>
        </w:rPr>
        <w:t xml:space="preserve">Informācija par projektu iesniegumu atlasi pieejama CFLA tīmekļa vietnē </w:t>
      </w:r>
      <w:r>
        <w:fldChar w:fldCharType="begin"/>
      </w:r>
      <w:r>
        <w:instrText xml:space="preserve"> HYPERLINK "http://cfla.gov.lv/lv/es-fondi-2014-2020/izsludinatas-atlases/1-1-1-1-praktiskas-ievirzes-petijumi-1-karta" \t "_blank" </w:instrText>
      </w:r>
      <w:r>
        <w:fldChar w:fldCharType="separate"/>
      </w:r>
      <w:r w:rsidRPr="001458F3">
        <w:rPr>
          <w:szCs w:val="24"/>
        </w:rPr>
        <w:t>http://cfla.gov.lv/lv/es-fondi-2014-2020/izsludinatas-atlases/1-1-1-1-praktiskas-ievirzes-petijumi-1-karta</w:t>
      </w:r>
      <w:r>
        <w:fldChar w:fldCharType="end"/>
      </w:r>
      <w:r w:rsidRPr="001458F3">
        <w:rPr>
          <w:szCs w:val="24"/>
        </w:rPr>
        <w:t>.</w:t>
      </w:r>
    </w:p>
    <w:p w:rsidR="00C44A05" w:rsidRPr="001458F3" w:rsidP="00981D33" w14:paraId="7D26BDE2" w14:textId="77777777">
      <w:pPr>
        <w:spacing w:after="0"/>
        <w:rPr>
          <w:szCs w:val="24"/>
        </w:rPr>
      </w:pPr>
    </w:p>
    <w:tbl>
      <w:tblPr>
        <w:tblStyle w:val="TableGrid"/>
        <w:tblW w:w="0" w:type="auto"/>
        <w:shd w:val="clear" w:color="auto" w:fill="EBDEDA" w:themeFill="accent4" w:themeFillTint="33"/>
        <w:tblLook w:val="04A0"/>
      </w:tblPr>
      <w:tblGrid>
        <w:gridCol w:w="9061"/>
      </w:tblGrid>
      <w:tr w14:paraId="5184DBCF" w14:textId="77777777" w:rsidTr="00D71AB1">
        <w:tblPrEx>
          <w:tblW w:w="0" w:type="auto"/>
          <w:shd w:val="clear" w:color="auto" w:fill="EBDEDA" w:themeFill="accent4" w:themeFillTint="33"/>
          <w:tblLook w:val="04A0"/>
        </w:tblPrEx>
        <w:tc>
          <w:tcPr>
            <w:tcW w:w="9061" w:type="dxa"/>
            <w:shd w:val="clear" w:color="auto" w:fill="EBDEDA" w:themeFill="accent4" w:themeFillTint="33"/>
          </w:tcPr>
          <w:p w:rsidR="00D71AB1" w:rsidRPr="00D33F67" w:rsidP="00A24CDE" w14:paraId="524F9145" w14:textId="77777777">
            <w:pPr>
              <w:shd w:val="clear" w:color="auto" w:fill="EBDEDA" w:themeFill="accent4" w:themeFillTint="33"/>
              <w:rPr>
                <w:rFonts w:cs="Times New Roman"/>
                <w:color w:val="000000"/>
              </w:rPr>
            </w:pPr>
            <w:r w:rsidRPr="00124CD6">
              <w:rPr>
                <w:rStyle w:val="BulletsFChar"/>
              </w:rPr>
              <w:t>Praktiskas ievirzes pētījumu</w:t>
            </w:r>
            <w:r>
              <w:rPr>
                <w:rStyle w:val="BulletsFChar"/>
              </w:rPr>
              <w:t xml:space="preserve"> programmas</w:t>
            </w:r>
            <w:r w:rsidRPr="00F77DD2">
              <w:rPr>
                <w:rStyle w:val="BulletsFChar"/>
              </w:rPr>
              <w:t xml:space="preserve"> </w:t>
            </w:r>
            <w:r w:rsidRPr="00D33F67">
              <w:rPr>
                <w:color w:val="000000"/>
              </w:rPr>
              <w:t>pirmās projektu iesniegumu atlases kārtas ietvaros tika</w:t>
            </w:r>
            <w:r w:rsidRPr="00D33F67">
              <w:rPr>
                <w:rFonts w:cs="Times New Roman"/>
                <w:color w:val="000000"/>
              </w:rPr>
              <w:t xml:space="preserve"> iesniegti 309 pētniecības projekti</w:t>
            </w:r>
            <w:r w:rsidRPr="00D33F67" w:rsidR="00DD417F">
              <w:rPr>
                <w:rFonts w:cs="Times New Roman"/>
                <w:color w:val="000000"/>
              </w:rPr>
              <w:t xml:space="preserve">, </w:t>
            </w:r>
            <w:r w:rsidRPr="00D33F67" w:rsidR="00D33F67">
              <w:rPr>
                <w:rFonts w:cs="Times New Roman"/>
                <w:color w:val="000000"/>
              </w:rPr>
              <w:t xml:space="preserve">kuru ietvaros </w:t>
            </w:r>
            <w:r w:rsidRPr="00D33F67" w:rsidR="00DD417F">
              <w:rPr>
                <w:rFonts w:cs="Times New Roman"/>
                <w:color w:val="000000"/>
              </w:rPr>
              <w:t xml:space="preserve">kopējais pieprasītā publiskā finansējuma apmērs </w:t>
            </w:r>
            <w:r w:rsidR="00A24CDE">
              <w:rPr>
                <w:rFonts w:cs="Times New Roman"/>
                <w:color w:val="000000"/>
              </w:rPr>
              <w:t xml:space="preserve">– </w:t>
            </w:r>
            <w:r w:rsidRPr="00D33F67" w:rsidR="00DD417F">
              <w:rPr>
                <w:rFonts w:cs="Times New Roman"/>
                <w:color w:val="000000"/>
              </w:rPr>
              <w:t xml:space="preserve">158 milj. </w:t>
            </w:r>
            <w:r w:rsidRPr="00C70A33" w:rsidR="00DD417F">
              <w:rPr>
                <w:rFonts w:cs="Times New Roman"/>
                <w:i/>
                <w:color w:val="000000"/>
              </w:rPr>
              <w:t>euro</w:t>
            </w:r>
            <w:r w:rsidRPr="00D33F67" w:rsidR="00D33F67">
              <w:rPr>
                <w:rFonts w:cs="Times New Roman"/>
                <w:color w:val="000000"/>
              </w:rPr>
              <w:t xml:space="preserve">, kas sešas reizes pārsniedza sākotnēji plānoto </w:t>
            </w:r>
            <w:r w:rsidR="00F00596">
              <w:rPr>
                <w:rFonts w:cs="Times New Roman"/>
                <w:color w:val="000000"/>
              </w:rPr>
              <w:t xml:space="preserve">pirmajai </w:t>
            </w:r>
            <w:r w:rsidR="00A24CDE">
              <w:rPr>
                <w:rFonts w:cs="Times New Roman"/>
                <w:color w:val="000000"/>
              </w:rPr>
              <w:t xml:space="preserve">atlases </w:t>
            </w:r>
            <w:r w:rsidRPr="00D33F67" w:rsidR="00D33F67">
              <w:rPr>
                <w:rFonts w:cs="Times New Roman"/>
                <w:color w:val="000000"/>
              </w:rPr>
              <w:t xml:space="preserve">kārtai pieejamo </w:t>
            </w:r>
            <w:r w:rsidR="00170AA8">
              <w:rPr>
                <w:rFonts w:cs="Times New Roman"/>
                <w:color w:val="000000"/>
              </w:rPr>
              <w:t xml:space="preserve">publisko </w:t>
            </w:r>
            <w:r w:rsidRPr="00D33F67" w:rsidR="00D33F67">
              <w:rPr>
                <w:rFonts w:cs="Times New Roman"/>
                <w:color w:val="000000"/>
              </w:rPr>
              <w:t>finansējumu.</w:t>
            </w:r>
          </w:p>
        </w:tc>
      </w:tr>
    </w:tbl>
    <w:p w:rsidR="00DD6E68" w:rsidP="00DD6E68" w14:paraId="70F16292" w14:textId="77777777">
      <w:pPr>
        <w:spacing w:after="0"/>
        <w:rPr>
          <w:szCs w:val="24"/>
        </w:rPr>
      </w:pPr>
      <w:r>
        <w:rPr>
          <w:szCs w:val="24"/>
        </w:rPr>
        <w:t>A</w:t>
      </w:r>
      <w:r w:rsidRPr="00B111C4">
        <w:rPr>
          <w:szCs w:val="24"/>
        </w:rPr>
        <w:t xml:space="preserve">tbilstoši </w:t>
      </w:r>
      <w:r w:rsidR="00A26E0A">
        <w:rPr>
          <w:szCs w:val="24"/>
        </w:rPr>
        <w:t>MK</w:t>
      </w:r>
      <w:r w:rsidRPr="00B111C4">
        <w:rPr>
          <w:szCs w:val="24"/>
        </w:rPr>
        <w:t xml:space="preserve"> 2016.gada 8.novembra sēdes protokollēmumam </w:t>
      </w:r>
      <w:r w:rsidR="00A26E0A">
        <w:rPr>
          <w:szCs w:val="24"/>
        </w:rPr>
        <w:t>“</w:t>
      </w:r>
      <w:r w:rsidRPr="00B111C4">
        <w:rPr>
          <w:szCs w:val="24"/>
        </w:rPr>
        <w:t>Par informatīvo ziņojumu</w:t>
      </w:r>
      <w:r w:rsidR="00A26E0A">
        <w:rPr>
          <w:szCs w:val="24"/>
        </w:rPr>
        <w:t>”</w:t>
      </w:r>
      <w:r w:rsidRPr="00B111C4">
        <w:rPr>
          <w:szCs w:val="24"/>
        </w:rPr>
        <w:t xml:space="preserve"> </w:t>
      </w:r>
      <w:r w:rsidR="00A26E0A">
        <w:rPr>
          <w:szCs w:val="24"/>
        </w:rPr>
        <w:t>“</w:t>
      </w:r>
      <w:r w:rsidRPr="00B111C4">
        <w:rPr>
          <w:szCs w:val="24"/>
        </w:rPr>
        <w:t>Par papildu finansējuma piešķiršanu praktiskās pētniecības projektu atbalstam</w:t>
      </w:r>
      <w:r w:rsidR="00A26E0A">
        <w:rPr>
          <w:szCs w:val="24"/>
        </w:rPr>
        <w:t>”</w:t>
      </w:r>
      <w:r w:rsidRPr="00B111C4">
        <w:rPr>
          <w:szCs w:val="24"/>
        </w:rPr>
        <w:t xml:space="preserve">  </w:t>
      </w:r>
      <w:r w:rsidR="001458F3">
        <w:rPr>
          <w:szCs w:val="24"/>
        </w:rPr>
        <w:t>(prot. Nr.60 60.</w:t>
      </w:r>
      <w:r w:rsidRPr="001458F3" w:rsidR="001458F3">
        <w:rPr>
          <w:szCs w:val="24"/>
        </w:rPr>
        <w:t>§</w:t>
      </w:r>
      <w:r w:rsidR="001458F3">
        <w:rPr>
          <w:szCs w:val="24"/>
        </w:rPr>
        <w:t xml:space="preserve">) </w:t>
      </w:r>
      <w:r w:rsidR="005C1071">
        <w:rPr>
          <w:szCs w:val="24"/>
        </w:rPr>
        <w:t>programmas</w:t>
      </w:r>
      <w:r w:rsidRPr="00B111C4">
        <w:rPr>
          <w:szCs w:val="24"/>
        </w:rPr>
        <w:t xml:space="preserve"> ietvaros tika palielināts pirmās atlases kārtas ietvaros kopējais pieejamais publiskais finansējums </w:t>
      </w:r>
      <w:r w:rsidRPr="001458F3">
        <w:rPr>
          <w:szCs w:val="24"/>
        </w:rPr>
        <w:t xml:space="preserve">no 25 milj. </w:t>
      </w:r>
      <w:r w:rsidRPr="00A24CDE">
        <w:rPr>
          <w:i/>
          <w:szCs w:val="24"/>
        </w:rPr>
        <w:t>euro</w:t>
      </w:r>
      <w:r w:rsidRPr="001458F3">
        <w:rPr>
          <w:szCs w:val="24"/>
        </w:rPr>
        <w:t>  uz 40 milj. </w:t>
      </w:r>
      <w:r w:rsidRPr="00A24CDE">
        <w:rPr>
          <w:i/>
          <w:szCs w:val="24"/>
        </w:rPr>
        <w:t>euro</w:t>
      </w:r>
      <w:r w:rsidRPr="001458F3">
        <w:rPr>
          <w:szCs w:val="24"/>
        </w:rPr>
        <w:t xml:space="preserve">. </w:t>
      </w:r>
    </w:p>
    <w:p w:rsidR="0040625C" w:rsidRPr="00A26E0A" w:rsidP="00DD6E68" w14:paraId="775F7B17" w14:textId="77777777">
      <w:pPr>
        <w:rPr>
          <w:szCs w:val="24"/>
        </w:rPr>
      </w:pPr>
      <w:r w:rsidRPr="00A26E0A">
        <w:rPr>
          <w:szCs w:val="24"/>
        </w:rPr>
        <w:t xml:space="preserve">Ar MK 11.04.2017. noteikumiem Nr. 206 „Grozījumi Ministru kabineta 2016. gada 12. janvāra noteikumos Nr. 34 „Darbības programmas </w:t>
      </w:r>
      <w:r w:rsidR="00A26E0A">
        <w:rPr>
          <w:szCs w:val="24"/>
        </w:rPr>
        <w:t>“</w:t>
      </w:r>
      <w:r w:rsidRPr="00A26E0A">
        <w:rPr>
          <w:szCs w:val="24"/>
        </w:rPr>
        <w:t>Izaugsme un nodarbinātība</w:t>
      </w:r>
      <w:r w:rsidR="00A26E0A">
        <w:rPr>
          <w:szCs w:val="24"/>
        </w:rPr>
        <w:t>”</w:t>
      </w:r>
      <w:r w:rsidRPr="00A26E0A">
        <w:rPr>
          <w:szCs w:val="24"/>
        </w:rPr>
        <w:t xml:space="preserve"> 1.1.1. specifiskā atbalsta mērķa </w:t>
      </w:r>
      <w:r w:rsidR="00A26E0A">
        <w:rPr>
          <w:szCs w:val="24"/>
        </w:rPr>
        <w:t>“</w:t>
      </w:r>
      <w:r w:rsidRPr="00A26E0A">
        <w:rPr>
          <w:szCs w:val="24"/>
        </w:rPr>
        <w:t>Palielināt Latvijas zinātnisko institūciju pētniecisko un inovatīvo kapacitāti un spēju piesaistīt ārējo finansējumu, ieguldot cilvēkresursos un infrastruktūrā</w:t>
      </w:r>
      <w:r w:rsidR="00A26E0A">
        <w:rPr>
          <w:szCs w:val="24"/>
        </w:rPr>
        <w:t>”</w:t>
      </w:r>
      <w:r w:rsidRPr="00A26E0A">
        <w:rPr>
          <w:szCs w:val="24"/>
        </w:rPr>
        <w:t xml:space="preserve"> 1.1.1.1. pasākuma </w:t>
      </w:r>
      <w:r w:rsidR="00A26E0A">
        <w:rPr>
          <w:szCs w:val="24"/>
        </w:rPr>
        <w:t>“</w:t>
      </w:r>
      <w:r w:rsidRPr="00A26E0A">
        <w:rPr>
          <w:szCs w:val="24"/>
        </w:rPr>
        <w:t>Praktiskas ievirzes pētījumi</w:t>
      </w:r>
      <w:r w:rsidR="00A26E0A">
        <w:rPr>
          <w:szCs w:val="24"/>
        </w:rPr>
        <w:t>”</w:t>
      </w:r>
      <w:r w:rsidRPr="00A26E0A">
        <w:rPr>
          <w:szCs w:val="24"/>
        </w:rPr>
        <w:t xml:space="preserve"> īstenošanas noteikumi</w:t>
      </w:r>
      <w:r w:rsidR="00A26E0A">
        <w:rPr>
          <w:szCs w:val="24"/>
        </w:rPr>
        <w:t>”</w:t>
      </w:r>
      <w:r w:rsidRPr="00A26E0A">
        <w:rPr>
          <w:szCs w:val="24"/>
        </w:rPr>
        <w:t xml:space="preserve"> veikti </w:t>
      </w:r>
      <w:r w:rsidRPr="00A26E0A">
        <w:rPr>
          <w:szCs w:val="24"/>
        </w:rPr>
        <w:t xml:space="preserve">šādi </w:t>
      </w:r>
      <w:r w:rsidRPr="00A26E0A">
        <w:rPr>
          <w:szCs w:val="24"/>
        </w:rPr>
        <w:t>grozījumi</w:t>
      </w:r>
      <w:r w:rsidRPr="00A26E0A">
        <w:rPr>
          <w:szCs w:val="24"/>
        </w:rPr>
        <w:t>:</w:t>
      </w:r>
    </w:p>
    <w:p w:rsidR="0040625C" w:rsidP="00124CD6" w14:paraId="25020B88" w14:textId="77777777">
      <w:pPr>
        <w:pStyle w:val="BulletF"/>
      </w:pPr>
      <w:r>
        <w:t>palielināts</w:t>
      </w:r>
      <w:r w:rsidRPr="00F77DD2" w:rsidR="005C1071">
        <w:rPr>
          <w:rStyle w:val="BulletsFChar"/>
        </w:rPr>
        <w:t xml:space="preserve"> </w:t>
      </w:r>
      <w:r w:rsidR="005C1071">
        <w:rPr>
          <w:rStyle w:val="BulletsFChar"/>
        </w:rPr>
        <w:t>programmas</w:t>
      </w:r>
      <w:r w:rsidRPr="00F77DD2" w:rsidR="005C1071">
        <w:rPr>
          <w:rStyle w:val="BulletsFChar"/>
        </w:rPr>
        <w:t xml:space="preserve"> </w:t>
      </w:r>
      <w:r>
        <w:t>ietvaros pieejam</w:t>
      </w:r>
      <w:r w:rsidR="00541ED4">
        <w:t>ais</w:t>
      </w:r>
      <w:r>
        <w:t xml:space="preserve"> </w:t>
      </w:r>
      <w:r w:rsidRPr="00B00BE0">
        <w:t>valsts budžeta līdzfinansējum</w:t>
      </w:r>
      <w:r>
        <w:t>s no</w:t>
      </w:r>
      <w:r w:rsidRPr="00702ABC">
        <w:rPr>
          <w:sz w:val="20"/>
          <w:szCs w:val="20"/>
        </w:rPr>
        <w:t xml:space="preserve"> </w:t>
      </w:r>
      <w:r w:rsidRPr="00702ABC">
        <w:rPr>
          <w:szCs w:val="21"/>
        </w:rPr>
        <w:t>1 851 931</w:t>
      </w:r>
      <w:r w:rsidRPr="00303A4F">
        <w:rPr>
          <w:sz w:val="20"/>
          <w:szCs w:val="20"/>
        </w:rPr>
        <w:t xml:space="preserve"> </w:t>
      </w:r>
      <w:r w:rsidRPr="0096777E">
        <w:rPr>
          <w:i/>
        </w:rPr>
        <w:t>euro</w:t>
      </w:r>
      <w:r w:rsidRPr="00B00BE0">
        <w:t xml:space="preserve"> </w:t>
      </w:r>
      <w:r w:rsidR="00016186">
        <w:t xml:space="preserve">(trīs procenti </w:t>
      </w:r>
      <w:r w:rsidRPr="00B00BE0" w:rsidR="00016186">
        <w:t>no 1.1.1.1. pasākuma īstenošanai paredzētā kopējā attiecināmā publiskā finansējuma</w:t>
      </w:r>
      <w:r w:rsidR="00016186">
        <w:t xml:space="preserve">) </w:t>
      </w:r>
      <w:r>
        <w:t xml:space="preserve">uz </w:t>
      </w:r>
      <w:r w:rsidRPr="00B00BE0">
        <w:t>11</w:t>
      </w:r>
      <w:r>
        <w:t> </w:t>
      </w:r>
      <w:r w:rsidRPr="00B00BE0">
        <w:t>476</w:t>
      </w:r>
      <w:r>
        <w:t> </w:t>
      </w:r>
      <w:r w:rsidRPr="00B00BE0">
        <w:t xml:space="preserve">931 </w:t>
      </w:r>
      <w:r w:rsidRPr="00BC6BF0">
        <w:rPr>
          <w:i/>
        </w:rPr>
        <w:t>euro</w:t>
      </w:r>
      <w:r w:rsidRPr="00B00BE0">
        <w:t xml:space="preserve"> </w:t>
      </w:r>
      <w:r>
        <w:t>(</w:t>
      </w:r>
      <w:r w:rsidRPr="00B00BE0">
        <w:t>15 procent</w:t>
      </w:r>
      <w:r>
        <w:t>i</w:t>
      </w:r>
      <w:r w:rsidRPr="00B00BE0">
        <w:t xml:space="preserve"> no 1.1.1.1. pasākuma īstenošanai paredzētā kopējā attiecināmā publiskā finansējuma</w:t>
      </w:r>
      <w:r>
        <w:t>);</w:t>
      </w:r>
    </w:p>
    <w:p w:rsidR="00016186" w:rsidRPr="00702948" w:rsidP="00124CD6" w14:paraId="5A8122B7" w14:textId="77777777">
      <w:pPr>
        <w:pStyle w:val="BulletF"/>
      </w:pPr>
      <w:r w:rsidRPr="00541ED4">
        <w:t xml:space="preserve">noteikts, ka </w:t>
      </w:r>
      <w:r w:rsidRPr="00016186">
        <w:t>n</w:t>
      </w:r>
      <w:r w:rsidRPr="00016186" w:rsidR="00541ED4">
        <w:t>ākamajās projektu iesniegumu atlases kārtās ar saimniecisku darbību nesaistītam projektam maksimālā publiskā finansējuma intensitāte ir 92,5 procenti.</w:t>
      </w:r>
      <w:r w:rsidRPr="00541ED4" w:rsidR="00541ED4">
        <w:t xml:space="preserve"> </w:t>
      </w:r>
      <w:r w:rsidR="00541ED4">
        <w:t>M</w:t>
      </w:r>
      <w:r w:rsidRPr="00541ED4">
        <w:t>aksimāl</w:t>
      </w:r>
      <w:r w:rsidR="00541ED4">
        <w:t>o</w:t>
      </w:r>
      <w:r w:rsidRPr="00541ED4">
        <w:t xml:space="preserve"> publiskā finansējuma intensitātes procentuālo sadalījumu starp valsts budžeta un </w:t>
      </w:r>
      <w:r w:rsidR="00625B16">
        <w:t>ERAF</w:t>
      </w:r>
      <w:r w:rsidRPr="00541ED4">
        <w:t xml:space="preserve"> atbalsta intensitāti ar saimniecisku darbību nesaistītam projektam nosaka </w:t>
      </w:r>
      <w:r w:rsidR="005C1071">
        <w:t>programmas</w:t>
      </w:r>
      <w:r w:rsidRPr="00541ED4">
        <w:t xml:space="preserve"> atlases nolikumā</w:t>
      </w:r>
      <w:r w:rsidR="00541ED4">
        <w:t xml:space="preserve">. </w:t>
      </w:r>
    </w:p>
    <w:p w:rsidR="00170AA8" w:rsidP="00C70A33" w14:paraId="271DBD2B" w14:textId="77777777">
      <w:pPr>
        <w:ind w:right="85"/>
        <w:rPr>
          <w:bCs/>
          <w:spacing w:val="-2"/>
          <w:szCs w:val="24"/>
        </w:rPr>
      </w:pPr>
      <w:r w:rsidRPr="00475D4C">
        <w:rPr>
          <w:bCs/>
          <w:spacing w:val="-2"/>
          <w:szCs w:val="24"/>
        </w:rPr>
        <w:t xml:space="preserve">2017. gada I ceturksnī noslēdzās </w:t>
      </w:r>
      <w:r w:rsidRPr="002E12C1" w:rsidR="005C1071">
        <w:rPr>
          <w:rStyle w:val="BulletsFChar"/>
        </w:rPr>
        <w:t>Praktiskas i</w:t>
      </w:r>
      <w:r w:rsidR="005C1071">
        <w:rPr>
          <w:rStyle w:val="BulletsFChar"/>
        </w:rPr>
        <w:t>evirzes pētījumu programmas</w:t>
      </w:r>
      <w:r w:rsidRPr="00F77DD2" w:rsidR="005C1071">
        <w:rPr>
          <w:rStyle w:val="BulletsFChar"/>
        </w:rPr>
        <w:t xml:space="preserve"> </w:t>
      </w:r>
      <w:r w:rsidRPr="00475D4C">
        <w:rPr>
          <w:bCs/>
          <w:spacing w:val="-2"/>
          <w:szCs w:val="24"/>
        </w:rPr>
        <w:t>pirmā projektu iesniegumu atlases kārta un tās ietvaros</w:t>
      </w:r>
      <w:r>
        <w:rPr>
          <w:bCs/>
          <w:spacing w:val="-2"/>
          <w:szCs w:val="24"/>
        </w:rPr>
        <w:t>:</w:t>
      </w:r>
    </w:p>
    <w:p w:rsidR="00170AA8" w:rsidP="00124CD6" w14:paraId="3AEEE9AC" w14:textId="77777777">
      <w:pPr>
        <w:pStyle w:val="BulletF"/>
      </w:pPr>
      <w:r>
        <w:t>projektu iesniegumus iesniedza 71 institūcija, tai skaitā 50 privātā sektora pārstāvji (70%) (komercsabiedrības, nodibinājumi, biedrības) un 21 atvasināta publiska persona (30%);</w:t>
      </w:r>
    </w:p>
    <w:p w:rsidR="002E0DBC" w:rsidRPr="0028225B" w:rsidP="00124CD6" w14:paraId="7A873729" w14:textId="77777777">
      <w:pPr>
        <w:pStyle w:val="BulletF"/>
      </w:pPr>
      <w:r w:rsidRPr="0028225B">
        <w:t xml:space="preserve">kvalitātes slieksni uz 2016.gada </w:t>
      </w:r>
      <w:r>
        <w:t>2</w:t>
      </w:r>
      <w:r w:rsidRPr="0028225B">
        <w:t>.</w:t>
      </w:r>
      <w:r>
        <w:t>novembri</w:t>
      </w:r>
      <w:r w:rsidRPr="0028225B">
        <w:t xml:space="preserve"> pārsniedza 12</w:t>
      </w:r>
      <w:r>
        <w:t>6</w:t>
      </w:r>
      <w:r w:rsidRPr="0028225B">
        <w:t xml:space="preserve"> pētniecības projekti (40</w:t>
      </w:r>
      <w:r>
        <w:t>,7</w:t>
      </w:r>
      <w:r w:rsidRPr="0028225B">
        <w:t>% no kopskaita)</w:t>
      </w:r>
      <w:r w:rsidR="00986878">
        <w:t xml:space="preserve">, kuru īstenošanai pieprasīts </w:t>
      </w:r>
      <w:r w:rsidRPr="0028225B">
        <w:t>publisk</w:t>
      </w:r>
      <w:r w:rsidR="00986878">
        <w:t>ais</w:t>
      </w:r>
      <w:r w:rsidRPr="0028225B">
        <w:t xml:space="preserve"> finansējum</w:t>
      </w:r>
      <w:r w:rsidR="00986878">
        <w:t>s</w:t>
      </w:r>
      <w:r w:rsidRPr="0028225B">
        <w:t xml:space="preserve"> 63,9 </w:t>
      </w:r>
      <w:r w:rsidR="00986878">
        <w:t>MEUR</w:t>
      </w:r>
      <w:r w:rsidRPr="0028225B">
        <w:t xml:space="preserve"> apmērā un paredz</w:t>
      </w:r>
      <w:r w:rsidR="00986878">
        <w:t>ēts</w:t>
      </w:r>
      <w:r w:rsidRPr="0028225B">
        <w:t xml:space="preserve"> </w:t>
      </w:r>
      <w:r w:rsidR="00986878">
        <w:t xml:space="preserve">nacionālais </w:t>
      </w:r>
      <w:r w:rsidRPr="0028225B">
        <w:t>privāt</w:t>
      </w:r>
      <w:r w:rsidR="00986878">
        <w:t>ais</w:t>
      </w:r>
      <w:r w:rsidRPr="0028225B">
        <w:t xml:space="preserve"> līdzfinansējum</w:t>
      </w:r>
      <w:r w:rsidR="00986878">
        <w:t>s</w:t>
      </w:r>
      <w:r w:rsidRPr="0028225B">
        <w:t xml:space="preserve"> 8,5 </w:t>
      </w:r>
      <w:r w:rsidR="00986878">
        <w:t>MEUR apmērā</w:t>
      </w:r>
      <w:r w:rsidRPr="0028225B">
        <w:t>;</w:t>
      </w:r>
    </w:p>
    <w:p w:rsidR="002934EB" w:rsidRPr="00F77DD2" w:rsidP="00124CD6" w14:paraId="305C0B45" w14:textId="77777777">
      <w:pPr>
        <w:pStyle w:val="BulletF"/>
      </w:pPr>
      <w:r w:rsidRPr="00F77DD2">
        <w:t xml:space="preserve">51 projekta iesniegums tika novērtēts virs kvalitātes sliekšņa, bet tika noraidīts nepietiekamā finansējuma dēļ; </w:t>
      </w:r>
    </w:p>
    <w:p w:rsidR="002E0DBC" w:rsidP="00124CD6" w14:paraId="562914C8" w14:textId="77777777">
      <w:pPr>
        <w:pStyle w:val="BulletF"/>
      </w:pPr>
      <w:r>
        <w:t>l</w:t>
      </w:r>
      <w:r w:rsidRPr="001458F3">
        <w:t>ielākā daļa no kvalitātes slieksni pārsniegušajiem pētniecības projektu iesniegumiem ir ar augstu zinātnisko kvalitāti un nozīmīgu sociālekonomisko ietekmi, ko apliecina pētniecības projektu augstie EK ekspertu vērtējumi. 60% no šiem pētniecības projektu iesniegumiem sešu punktu skalā ir saņēmuši vērtējumu virs pieciem punktiem  (1.tabula)</w:t>
      </w:r>
      <w:r w:rsidR="00305123">
        <w:t>;</w:t>
      </w:r>
    </w:p>
    <w:p w:rsidR="00702948" w:rsidP="00124CD6" w14:paraId="010F17C6" w14:textId="77777777">
      <w:pPr>
        <w:pStyle w:val="BulletF"/>
        <w:rPr>
          <w:rStyle w:val="BulletsFChar"/>
        </w:rPr>
      </w:pPr>
      <w:r>
        <w:rPr>
          <w:rStyle w:val="BulletsFChar"/>
        </w:rPr>
        <w:t xml:space="preserve">indikatīvais </w:t>
      </w:r>
      <w:r w:rsidR="00923B54">
        <w:rPr>
          <w:rStyle w:val="BulletsFChar"/>
        </w:rPr>
        <w:t xml:space="preserve">iesniegto </w:t>
      </w:r>
      <w:r w:rsidRPr="00702948" w:rsidR="002E0DBC">
        <w:rPr>
          <w:rStyle w:val="BulletsFChar"/>
        </w:rPr>
        <w:t>projektu iesniegumu sadalījums pa zinātņu nozarēm:</w:t>
      </w:r>
      <w:r w:rsidRPr="00702948">
        <w:rPr>
          <w:rStyle w:val="BulletsFChar"/>
        </w:rPr>
        <w:t xml:space="preserve"> </w:t>
      </w:r>
    </w:p>
    <w:p w:rsidR="00702948" w:rsidRPr="00702948" w:rsidP="00702948" w14:paraId="3B0FB59C" w14:textId="77777777">
      <w:pPr>
        <w:pStyle w:val="BulletA"/>
        <w:rPr>
          <w:rStyle w:val="BulletsFChar"/>
          <w:rFonts w:cstheme="minorBidi"/>
        </w:rPr>
      </w:pPr>
      <w:r w:rsidRPr="00702948">
        <w:rPr>
          <w:rStyle w:val="BulletsFChar"/>
        </w:rPr>
        <w:t>inženierzinātņu un tehnoloģiju nozarē – 41%</w:t>
      </w:r>
      <w:r>
        <w:rPr>
          <w:rStyle w:val="BulletsFChar"/>
        </w:rPr>
        <w:t xml:space="preserve">; </w:t>
      </w:r>
    </w:p>
    <w:p w:rsidR="00702948" w:rsidRPr="00702948" w:rsidP="00702948" w14:paraId="64B701BB" w14:textId="77777777">
      <w:pPr>
        <w:pStyle w:val="BulletA"/>
        <w:rPr>
          <w:rStyle w:val="BulletsFChar"/>
          <w:rFonts w:cstheme="minorBidi"/>
        </w:rPr>
      </w:pPr>
      <w:r w:rsidRPr="00702948">
        <w:rPr>
          <w:rStyle w:val="BulletsFChar"/>
        </w:rPr>
        <w:t>medicīnas un veselības jomā - 23%</w:t>
      </w:r>
      <w:r>
        <w:rPr>
          <w:rStyle w:val="BulletsFChar"/>
        </w:rPr>
        <w:t>;</w:t>
      </w:r>
    </w:p>
    <w:p w:rsidR="00702948" w:rsidRPr="00702948" w:rsidP="00702948" w14:paraId="5BCA42FE" w14:textId="77777777">
      <w:pPr>
        <w:pStyle w:val="BulletA"/>
        <w:rPr>
          <w:rStyle w:val="BulletsFChar"/>
          <w:rFonts w:cstheme="minorBidi"/>
        </w:rPr>
      </w:pPr>
      <w:r w:rsidRPr="00702948">
        <w:rPr>
          <w:rStyle w:val="BulletsFChar"/>
        </w:rPr>
        <w:t>dabaszinātņu nozarē – 19%</w:t>
      </w:r>
      <w:r>
        <w:rPr>
          <w:rStyle w:val="BulletsFChar"/>
        </w:rPr>
        <w:t>;</w:t>
      </w:r>
    </w:p>
    <w:p w:rsidR="00702948" w:rsidRPr="00702948" w:rsidP="00702948" w14:paraId="7978DEDD" w14:textId="77777777">
      <w:pPr>
        <w:pStyle w:val="BulletA"/>
        <w:rPr>
          <w:rStyle w:val="BulletsFChar"/>
          <w:rFonts w:cstheme="minorBidi"/>
        </w:rPr>
      </w:pPr>
      <w:r w:rsidRPr="00702948">
        <w:rPr>
          <w:rStyle w:val="BulletsFChar"/>
        </w:rPr>
        <w:t xml:space="preserve">lauksaimniecībā </w:t>
      </w:r>
      <w:r>
        <w:rPr>
          <w:rStyle w:val="BulletsFChar"/>
        </w:rPr>
        <w:t>–</w:t>
      </w:r>
      <w:r w:rsidRPr="00702948">
        <w:rPr>
          <w:rStyle w:val="BulletsFChar"/>
        </w:rPr>
        <w:t xml:space="preserve"> 9%</w:t>
      </w:r>
      <w:r>
        <w:rPr>
          <w:rStyle w:val="BulletsFChar"/>
        </w:rPr>
        <w:t>;</w:t>
      </w:r>
    </w:p>
    <w:p w:rsidR="002E0DBC" w:rsidRPr="00FC39B1" w:rsidP="00702948" w14:paraId="2D0AC743" w14:textId="77777777">
      <w:pPr>
        <w:pStyle w:val="BulletA"/>
        <w:rPr>
          <w:rStyle w:val="BulletsFChar"/>
          <w:rFonts w:cstheme="minorBidi"/>
        </w:rPr>
      </w:pPr>
      <w:r w:rsidRPr="00702948">
        <w:rPr>
          <w:rStyle w:val="BulletsFChar"/>
        </w:rPr>
        <w:t>sociālajās zinātnēs – 7%;</w:t>
      </w:r>
    </w:p>
    <w:p w:rsidR="00FC39B1" w:rsidRPr="00702948" w:rsidP="00702948" w14:paraId="118B1C4D" w14:textId="77777777">
      <w:pPr>
        <w:pStyle w:val="BulletA"/>
        <w:rPr>
          <w:rFonts w:eastAsia="Candara"/>
        </w:rPr>
      </w:pPr>
      <w:r>
        <w:rPr>
          <w:rStyle w:val="BulletsFChar"/>
        </w:rPr>
        <w:t>citas nozares – 1%;</w:t>
      </w:r>
    </w:p>
    <w:p w:rsidR="00305123" w:rsidP="00124CD6" w14:paraId="20C969FA" w14:textId="77777777">
      <w:pPr>
        <w:pStyle w:val="BulletF"/>
      </w:pPr>
      <w:r w:rsidRPr="00475D4C">
        <w:t>atbalstīt</w:t>
      </w:r>
      <w:r w:rsidR="002A34DA">
        <w:t>o</w:t>
      </w:r>
      <w:r w:rsidRPr="00475D4C">
        <w:t xml:space="preserve"> pētniecības projekt</w:t>
      </w:r>
      <w:r w:rsidR="002A34DA">
        <w:t xml:space="preserve">u skaitā: </w:t>
      </w:r>
      <w:r>
        <w:t xml:space="preserve">15 fundamentālie </w:t>
      </w:r>
      <w:r w:rsidRPr="002A34DA">
        <w:t>pētījumi (20</w:t>
      </w:r>
      <w:r w:rsidRPr="002A34DA" w:rsidR="006E56DE">
        <w:t>%)</w:t>
      </w:r>
      <w:r w:rsidRPr="002A34DA">
        <w:t>;</w:t>
      </w:r>
      <w:r w:rsidR="002A34DA">
        <w:t xml:space="preserve"> </w:t>
      </w:r>
      <w:r>
        <w:t>59 rūpnieciskie pētījumi (80%)</w:t>
      </w:r>
      <w:r w:rsidR="00403EFC">
        <w:t xml:space="preserve"> (</w:t>
      </w:r>
      <w:r>
        <w:fldChar w:fldCharType="begin"/>
      </w:r>
      <w:r>
        <w:instrText xml:space="preserve"> REF _Ref494796907 \h </w:instrText>
      </w:r>
      <w:r>
        <w:fldChar w:fldCharType="separate"/>
      </w:r>
      <w:r>
        <w:rPr>
          <w:rFonts w:eastAsia="SimSun" w:cs="Times New Roman"/>
          <w:lang w:eastAsia="zh-CN" w:bidi="lo-LA"/>
        </w:rPr>
        <w:t>10</w:t>
      </w:r>
      <w:r>
        <w:rPr>
          <w:rFonts w:eastAsia="SimSun" w:cs="Times New Roman"/>
          <w:lang w:eastAsia="zh-CN" w:bidi="lo-LA"/>
        </w:rPr>
        <w:t>. attēls</w:t>
      </w:r>
      <w:r>
        <w:fldChar w:fldCharType="end"/>
      </w:r>
      <w:r w:rsidR="00403EFC">
        <w:t>)</w:t>
      </w:r>
      <w:r>
        <w:t>;</w:t>
      </w:r>
      <w:r w:rsidR="002A34DA">
        <w:t xml:space="preserve"> </w:t>
      </w:r>
      <w:r w:rsidR="00CA3F19">
        <w:t>seši</w:t>
      </w:r>
      <w:r w:rsidRPr="002A34DA" w:rsidR="00923B54">
        <w:t xml:space="preserve"> </w:t>
      </w:r>
      <w:r w:rsidR="00CA3F19">
        <w:t>privātā sektora pārstāvju iesniegtie</w:t>
      </w:r>
      <w:r w:rsidRPr="002A34DA" w:rsidR="00923B54">
        <w:t xml:space="preserve"> projekti (</w:t>
      </w:r>
      <w:r w:rsidR="00CA3F19">
        <w:t>10,9</w:t>
      </w:r>
      <w:r w:rsidRPr="002A34DA" w:rsidR="00ED5257">
        <w:t xml:space="preserve"> </w:t>
      </w:r>
      <w:r w:rsidRPr="00CA3F19" w:rsidR="00923B54">
        <w:t>%)</w:t>
      </w:r>
      <w:r w:rsidRPr="00CA3F19" w:rsidR="00403EFC">
        <w:t xml:space="preserve"> (</w:t>
      </w:r>
      <w:r w:rsidR="006E6A71">
        <w:fldChar w:fldCharType="begin"/>
      </w:r>
      <w:r w:rsidR="006E6A71">
        <w:instrText xml:space="preserve"> REF _Ref495562996 \h </w:instrText>
      </w:r>
      <w:r w:rsidR="006E6A71">
        <w:fldChar w:fldCharType="separate"/>
      </w:r>
      <w:r>
        <w:rPr>
          <w:rFonts w:eastAsia="SimSun" w:cs="Times New Roman"/>
          <w:lang w:eastAsia="zh-CN" w:bidi="lo-LA"/>
        </w:rPr>
        <w:t>11</w:t>
      </w:r>
      <w:r>
        <w:rPr>
          <w:rFonts w:eastAsia="SimSun" w:cs="Times New Roman"/>
          <w:lang w:eastAsia="zh-CN" w:bidi="lo-LA"/>
        </w:rPr>
        <w:t>. attēls</w:t>
      </w:r>
      <w:r w:rsidR="006E6A71">
        <w:fldChar w:fldCharType="end"/>
      </w:r>
      <w:r w:rsidRPr="00CA3F19" w:rsidR="00403EFC">
        <w:t>)</w:t>
      </w:r>
      <w:r w:rsidRPr="00CA3F19" w:rsidR="00923B54">
        <w:t>;</w:t>
      </w:r>
      <w:r>
        <w:t xml:space="preserve"> </w:t>
      </w:r>
    </w:p>
    <w:p w:rsidR="00170AA8" w:rsidP="00124CD6" w14:paraId="69F3518B" w14:textId="77777777">
      <w:pPr>
        <w:pStyle w:val="BulletF"/>
      </w:pPr>
      <w:r>
        <w:t>vidējais sekmības rādītājs 23,9%:</w:t>
      </w:r>
    </w:p>
    <w:p w:rsidR="00170AA8" w:rsidP="00170AA8" w14:paraId="368C2467" w14:textId="77777777">
      <w:pPr>
        <w:pStyle w:val="BulletA"/>
      </w:pPr>
      <w:r>
        <w:t xml:space="preserve">vidējais privātā sektora sekmības rādītājs ir 10,9%;   </w:t>
      </w:r>
    </w:p>
    <w:p w:rsidR="002A34DA" w:rsidP="002A0DDA" w14:paraId="395D5444" w14:textId="77777777">
      <w:pPr>
        <w:pStyle w:val="BulletA"/>
        <w:rPr>
          <w:rStyle w:val="BulletsFChar"/>
        </w:rPr>
      </w:pPr>
      <w:r>
        <w:t xml:space="preserve">vidējais publiskā sektora sekmības rādītājs – 26,7%. Visaugstākie sekmības rādītāji ir šādām institūcijām, kas iesniegušas vairāk kā četrus projektu iesniegumus: KĶI 83%; BMC 45%; LU MII 33%, RTU 32%; </w:t>
      </w:r>
      <w:r w:rsidR="002E0DBC">
        <w:t>OSI 28%; LU 25%;</w:t>
      </w:r>
    </w:p>
    <w:p w:rsidR="00B92CC1" w:rsidRPr="00F77DD2" w:rsidP="00124CD6" w14:paraId="4C768E2B" w14:textId="77777777">
      <w:pPr>
        <w:pStyle w:val="BulletF"/>
        <w:rPr>
          <w:rStyle w:val="BulletsFChar"/>
        </w:rPr>
      </w:pPr>
      <w:r w:rsidRPr="00F77DD2">
        <w:rPr>
          <w:rStyle w:val="BulletsFChar"/>
        </w:rPr>
        <w:t xml:space="preserve">projektu īstenošanai paredzēts piesaistīt </w:t>
      </w:r>
      <w:r w:rsidRPr="00260208" w:rsidR="00791127">
        <w:rPr>
          <w:rStyle w:val="BulletsFChar"/>
        </w:rPr>
        <w:t xml:space="preserve">zinātniskos darbiniekus </w:t>
      </w:r>
      <w:r w:rsidRPr="00F77DD2">
        <w:rPr>
          <w:rStyle w:val="BulletsFChar"/>
        </w:rPr>
        <w:t>148 maģistra un doktora studiju programmās studējošos 63 PLE apmērā;</w:t>
      </w:r>
    </w:p>
    <w:p w:rsidR="00124CD6" w:rsidP="00124CD6" w14:paraId="7B38DCD0" w14:textId="77777777">
      <w:pPr>
        <w:pStyle w:val="BulletF"/>
        <w:rPr>
          <w:rStyle w:val="BulletsFChar"/>
        </w:rPr>
      </w:pPr>
      <w:r w:rsidRPr="001458F3">
        <w:rPr>
          <w:rStyle w:val="BulletsFChar"/>
        </w:rPr>
        <w:t xml:space="preserve">89% no projektu iesniegumiem tika iesniegti ES fondu e-vidē, kas tika izveidota, </w:t>
      </w:r>
      <w:r>
        <w:rPr>
          <w:rStyle w:val="BulletsFChar"/>
        </w:rPr>
        <w:t xml:space="preserve">lai </w:t>
      </w:r>
      <w:r w:rsidRPr="001458F3">
        <w:rPr>
          <w:rStyle w:val="BulletsFChar"/>
        </w:rPr>
        <w:t>samazinātu iespējamo kļūdu risku un sekmētu projektu iesniegumu kvalitāti. Vienlaikus e-vide būtiski samazināja projektu iesniegumu apstrādei nepieciešamo laiku</w:t>
      </w:r>
      <w:r w:rsidR="00702948">
        <w:rPr>
          <w:rStyle w:val="BulletsFChar"/>
        </w:rPr>
        <w:t>.</w:t>
      </w:r>
    </w:p>
    <w:p w:rsidR="00124CD6" w:rsidP="00124CD6" w14:paraId="4F7C058E" w14:textId="77777777">
      <w:pPr>
        <w:pStyle w:val="BulletF"/>
        <w:rPr>
          <w:rStyle w:val="BulletsFChar"/>
        </w:rPr>
      </w:pPr>
    </w:p>
    <w:p w:rsidR="006E6A71" w:rsidRPr="004A0A1B" w:rsidP="00F77DD2" w14:paraId="63EE0B4D" w14:textId="77777777">
      <w:pPr>
        <w:pBdr>
          <w:top w:val="single" w:sz="4" w:space="1" w:color="auto"/>
          <w:left w:val="single" w:sz="4" w:space="4" w:color="auto"/>
          <w:bottom w:val="single" w:sz="4" w:space="1" w:color="auto"/>
          <w:right w:val="single" w:sz="4" w:space="4" w:color="auto"/>
        </w:pBdr>
        <w:shd w:val="clear" w:color="auto" w:fill="EBDEDA" w:themeFill="accent4" w:themeFillTint="33"/>
        <w:jc w:val="center"/>
        <w:rPr>
          <w:b/>
          <w:color w:val="000000"/>
          <w:szCs w:val="24"/>
        </w:rPr>
      </w:pPr>
      <w:r w:rsidRPr="004A0A1B">
        <w:rPr>
          <w:b/>
          <w:color w:val="000000"/>
          <w:szCs w:val="24"/>
        </w:rPr>
        <w:t>Ar saimniecisku darbību saistīt</w:t>
      </w:r>
      <w:r w:rsidRPr="004A0A1B" w:rsidR="005C1071">
        <w:rPr>
          <w:b/>
          <w:color w:val="000000"/>
          <w:szCs w:val="24"/>
        </w:rPr>
        <w:t>i</w:t>
      </w:r>
      <w:r w:rsidRPr="004A0A1B">
        <w:rPr>
          <w:b/>
          <w:color w:val="000000"/>
          <w:szCs w:val="24"/>
        </w:rPr>
        <w:t xml:space="preserve"> projekti</w:t>
      </w:r>
    </w:p>
    <w:p w:rsidR="006E6A71" w:rsidP="004A0A1B" w14:paraId="3E346655" w14:textId="77777777">
      <w:pPr>
        <w:pBdr>
          <w:top w:val="single" w:sz="4" w:space="1" w:color="auto"/>
          <w:left w:val="single" w:sz="4" w:space="4" w:color="auto"/>
          <w:bottom w:val="single" w:sz="4" w:space="1" w:color="auto"/>
          <w:right w:val="single" w:sz="4" w:space="4" w:color="auto"/>
        </w:pBdr>
        <w:shd w:val="clear" w:color="auto" w:fill="EBDEDA" w:themeFill="accent4" w:themeFillTint="33"/>
        <w:ind w:firstLine="0"/>
        <w:rPr>
          <w:color w:val="000000"/>
        </w:rPr>
      </w:pPr>
      <w:r w:rsidRPr="00242B92">
        <w:rPr>
          <w:color w:val="000000"/>
        </w:rPr>
        <w:t>Praktiskas ievirzes pētījumu programmas</w:t>
      </w:r>
      <w:r w:rsidRPr="00F77DD2">
        <w:rPr>
          <w:rStyle w:val="BulletsFChar"/>
        </w:rPr>
        <w:t xml:space="preserve"> </w:t>
      </w:r>
      <w:r w:rsidRPr="00D33F67">
        <w:rPr>
          <w:color w:val="000000"/>
        </w:rPr>
        <w:t xml:space="preserve">pirmās atlases kārtas ietvaros </w:t>
      </w:r>
      <w:r>
        <w:rPr>
          <w:color w:val="000000"/>
        </w:rPr>
        <w:t>tiek finansēti</w:t>
      </w:r>
      <w:r>
        <w:rPr>
          <w:color w:val="000000"/>
        </w:rPr>
        <w:t xml:space="preserve"> 12,7% no kopējā iesniegto ar saimniecisku darbību saistīto projektu iesniegumu skaita.</w:t>
      </w:r>
    </w:p>
    <w:p w:rsidR="00170AA8" w:rsidP="00D31948" w14:paraId="7B46B127" w14:textId="77777777">
      <w:pPr>
        <w:pStyle w:val="Caption"/>
      </w:pPr>
      <w:bookmarkStart w:id="63" w:name="_Ref495047332"/>
      <w:bookmarkStart w:id="64" w:name="_Ref493602129"/>
      <w:r>
        <w:fldChar w:fldCharType="begin"/>
      </w:r>
      <w:r>
        <w:instrText xml:space="preserve"> SEQ tabula \* ARABIC </w:instrText>
      </w:r>
      <w:r>
        <w:fldChar w:fldCharType="separate"/>
      </w:r>
      <w:r>
        <w:t>1</w:t>
      </w:r>
      <w:r>
        <w:fldChar w:fldCharType="end"/>
      </w:r>
      <w:r>
        <w:t>. tabula</w:t>
      </w:r>
      <w:bookmarkEnd w:id="63"/>
      <w:r w:rsidR="002E0DBC">
        <w:t>.</w:t>
      </w:r>
      <w:r w:rsidRPr="00DD417F" w:rsidR="002E0DBC">
        <w:t xml:space="preserve"> Virs kvalitātes sliekšņa novērtēto pētniecības</w:t>
      </w:r>
      <w:r w:rsidR="002E0DBC">
        <w:t xml:space="preserve"> </w:t>
      </w:r>
      <w:r w:rsidRPr="00DD417F" w:rsidR="002E0DBC">
        <w:t>projektu iegūto punktu skaita sadalījums</w:t>
      </w:r>
      <w:bookmarkEnd w:id="64"/>
    </w:p>
    <w:p w:rsidR="00FC39B1" w:rsidRPr="00FC39B1" w:rsidP="00D14E3E" w14:paraId="6207230C" w14:textId="77777777">
      <w:pPr>
        <w:jc w:val="center"/>
      </w:pPr>
      <w:r w:rsidRPr="00DD417F">
        <w:rPr>
          <w:noProof/>
          <w:lang w:eastAsia="lv-LV"/>
        </w:rPr>
        <w:drawing>
          <wp:inline distT="0" distB="0" distL="0" distR="0">
            <wp:extent cx="4669200" cy="91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88747" name=""/>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4669200" cy="918000"/>
                    </a:xfrm>
                    <a:prstGeom prst="rect">
                      <a:avLst/>
                    </a:prstGeom>
                  </pic:spPr>
                </pic:pic>
              </a:graphicData>
            </a:graphic>
          </wp:inline>
        </w:drawing>
      </w:r>
    </w:p>
    <w:p w:rsidR="00C74116" w:rsidP="00A26E0A" w14:paraId="46D86331" w14:textId="77777777">
      <w:pPr>
        <w:rPr>
          <w:lang w:eastAsia="zh-CN" w:bidi="lo-LA"/>
        </w:rPr>
      </w:pPr>
      <w:r w:rsidRPr="002E12C1">
        <w:rPr>
          <w:rStyle w:val="BulletsFChar"/>
        </w:rPr>
        <w:t>Praktiskas i</w:t>
      </w:r>
      <w:r>
        <w:rPr>
          <w:rStyle w:val="BulletsFChar"/>
        </w:rPr>
        <w:t>evirzes pētījumu programmas</w:t>
      </w:r>
      <w:r w:rsidRPr="00F77DD2">
        <w:rPr>
          <w:rStyle w:val="BulletsFChar"/>
        </w:rPr>
        <w:t xml:space="preserve"> </w:t>
      </w:r>
      <w:r w:rsidR="00A26E0A">
        <w:rPr>
          <w:lang w:eastAsia="zh-CN" w:bidi="lo-LA"/>
        </w:rPr>
        <w:t xml:space="preserve">ietvaros iesniegto pētniecības iesniegumu </w:t>
      </w:r>
      <w:r w:rsidR="006E6A71">
        <w:rPr>
          <w:lang w:eastAsia="zh-CN" w:bidi="lo-LA"/>
        </w:rPr>
        <w:t xml:space="preserve">kvalitāti raksturo </w:t>
      </w:r>
      <w:r w:rsidR="00A26E0A">
        <w:rPr>
          <w:lang w:eastAsia="zh-CN" w:bidi="lo-LA"/>
        </w:rPr>
        <w:t xml:space="preserve">kvalitātes vērtējumā iegūto punktu </w:t>
      </w:r>
      <w:r w:rsidR="006E6A71">
        <w:rPr>
          <w:lang w:eastAsia="zh-CN" w:bidi="lo-LA"/>
        </w:rPr>
        <w:t xml:space="preserve">skaita </w:t>
      </w:r>
      <w:r w:rsidR="00A26E0A">
        <w:rPr>
          <w:lang w:eastAsia="zh-CN" w:bidi="lo-LA"/>
        </w:rPr>
        <w:t>sadalījums pa kvalitātes kritērijiem (</w:t>
      </w:r>
      <w:r w:rsidR="00A26E0A">
        <w:rPr>
          <w:lang w:eastAsia="zh-CN" w:bidi="lo-LA"/>
        </w:rPr>
        <w:fldChar w:fldCharType="begin"/>
      </w:r>
      <w:r w:rsidR="00A26E0A">
        <w:rPr>
          <w:lang w:eastAsia="zh-CN" w:bidi="lo-LA"/>
        </w:rPr>
        <w:instrText xml:space="preserve"> REF _Ref494291478 \h </w:instrText>
      </w:r>
      <w:r w:rsidR="00404B33">
        <w:rPr>
          <w:lang w:eastAsia="zh-CN" w:bidi="lo-LA"/>
        </w:rPr>
        <w:instrText xml:space="preserve"> \* MERGEFORMAT </w:instrText>
      </w:r>
      <w:r w:rsidR="00A26E0A">
        <w:rPr>
          <w:lang w:eastAsia="zh-CN" w:bidi="lo-LA"/>
        </w:rPr>
        <w:fldChar w:fldCharType="separate"/>
      </w:r>
      <w:r w:rsidRPr="004A0A1B" w:rsidR="004A0A1B">
        <w:rPr>
          <w:lang w:eastAsia="zh-CN" w:bidi="lo-LA"/>
        </w:rPr>
        <w:t>3. attēls</w:t>
      </w:r>
      <w:r w:rsidR="00A26E0A">
        <w:rPr>
          <w:lang w:eastAsia="zh-CN" w:bidi="lo-LA"/>
        </w:rPr>
        <w:fldChar w:fldCharType="end"/>
      </w:r>
      <w:r w:rsidR="00A26E0A">
        <w:rPr>
          <w:lang w:eastAsia="zh-CN" w:bidi="lo-LA"/>
        </w:rPr>
        <w:t xml:space="preserve">, </w:t>
      </w:r>
      <w:r w:rsidR="00A26E0A">
        <w:rPr>
          <w:lang w:eastAsia="zh-CN" w:bidi="lo-LA"/>
        </w:rPr>
        <w:fldChar w:fldCharType="begin"/>
      </w:r>
      <w:r w:rsidR="00A26E0A">
        <w:rPr>
          <w:lang w:eastAsia="zh-CN" w:bidi="lo-LA"/>
        </w:rPr>
        <w:instrText xml:space="preserve"> REF _Ref494291493 \h </w:instrText>
      </w:r>
      <w:r w:rsidR="00404B33">
        <w:rPr>
          <w:lang w:eastAsia="zh-CN" w:bidi="lo-LA"/>
        </w:rPr>
        <w:instrText xml:space="preserve"> \* MERGEFORMAT </w:instrText>
      </w:r>
      <w:r w:rsidR="00A26E0A">
        <w:rPr>
          <w:lang w:eastAsia="zh-CN" w:bidi="lo-LA"/>
        </w:rPr>
        <w:fldChar w:fldCharType="separate"/>
      </w:r>
      <w:r w:rsidRPr="004A0A1B" w:rsidR="004A0A1B">
        <w:rPr>
          <w:lang w:eastAsia="zh-CN" w:bidi="lo-LA"/>
        </w:rPr>
        <w:t>4. attēls</w:t>
      </w:r>
      <w:r w:rsidR="00A26E0A">
        <w:rPr>
          <w:lang w:eastAsia="zh-CN" w:bidi="lo-LA"/>
        </w:rPr>
        <w:fldChar w:fldCharType="end"/>
      </w:r>
      <w:r w:rsidR="00A26E0A">
        <w:rPr>
          <w:lang w:eastAsia="zh-CN" w:bidi="lo-LA"/>
        </w:rPr>
        <w:t xml:space="preserve">, </w:t>
      </w:r>
      <w:r w:rsidR="00A26E0A">
        <w:rPr>
          <w:lang w:eastAsia="zh-CN" w:bidi="lo-LA"/>
        </w:rPr>
        <w:fldChar w:fldCharType="begin"/>
      </w:r>
      <w:r w:rsidR="00A26E0A">
        <w:rPr>
          <w:lang w:eastAsia="zh-CN" w:bidi="lo-LA"/>
        </w:rPr>
        <w:instrText xml:space="preserve"> REF _Ref494291498 \h </w:instrText>
      </w:r>
      <w:r w:rsidR="00404B33">
        <w:rPr>
          <w:lang w:eastAsia="zh-CN" w:bidi="lo-LA"/>
        </w:rPr>
        <w:instrText xml:space="preserve"> \* MERGEFORMAT </w:instrText>
      </w:r>
      <w:r w:rsidR="00A26E0A">
        <w:rPr>
          <w:lang w:eastAsia="zh-CN" w:bidi="lo-LA"/>
        </w:rPr>
        <w:fldChar w:fldCharType="separate"/>
      </w:r>
      <w:r w:rsidRPr="004A0A1B" w:rsidR="004A0A1B">
        <w:rPr>
          <w:lang w:eastAsia="zh-CN" w:bidi="lo-LA"/>
        </w:rPr>
        <w:t>5. attēls</w:t>
      </w:r>
      <w:r w:rsidR="00A26E0A">
        <w:rPr>
          <w:lang w:eastAsia="zh-CN" w:bidi="lo-LA"/>
        </w:rPr>
        <w:fldChar w:fldCharType="end"/>
      </w:r>
      <w:r w:rsidR="00A26E0A">
        <w:rPr>
          <w:lang w:eastAsia="zh-CN" w:bidi="lo-LA"/>
        </w:rPr>
        <w:t>)</w:t>
      </w:r>
      <w:r>
        <w:rPr>
          <w:lang w:eastAsia="zh-CN" w:bidi="lo-LA"/>
        </w:rPr>
        <w:t>:</w:t>
      </w:r>
    </w:p>
    <w:p w:rsidR="00A26E0A" w:rsidRPr="00472D9A" w:rsidP="00124CD6" w14:paraId="766234DA" w14:textId="77777777">
      <w:pPr>
        <w:pStyle w:val="BulletF"/>
      </w:pPr>
      <w:r w:rsidRPr="00472D9A">
        <w:t>pētniecības kvalitāte</w:t>
      </w:r>
      <w:r w:rsidR="00BE7822">
        <w:t xml:space="preserve"> (</w:t>
      </w:r>
      <w:r w:rsidR="009615EA">
        <w:t>minimālais nepieciešamais punktu skaits: 4 punkti)</w:t>
      </w:r>
      <w:r w:rsidR="00BE7822">
        <w:t>)</w:t>
      </w:r>
      <w:r w:rsidRPr="00472D9A">
        <w:t>:</w:t>
      </w:r>
    </w:p>
    <w:p w:rsidR="00C74116" w:rsidRPr="00472D9A" w:rsidP="00C74116" w14:paraId="3092782C" w14:textId="77777777">
      <w:pPr>
        <w:pStyle w:val="BulletA"/>
      </w:pPr>
      <w:r w:rsidRPr="00472D9A">
        <w:t>vidējais projektu iesniegumu novērtējums 3,</w:t>
      </w:r>
      <w:r w:rsidRPr="00472D9A" w:rsidR="00404B33">
        <w:t>54</w:t>
      </w:r>
      <w:r w:rsidRPr="00472D9A">
        <w:t xml:space="preserve"> punkti</w:t>
      </w:r>
      <w:r w:rsidRPr="00472D9A" w:rsidR="00404B33">
        <w:t>;</w:t>
      </w:r>
    </w:p>
    <w:p w:rsidR="00C74116" w:rsidRPr="00472D9A" w:rsidP="00C74116" w14:paraId="7E18F5E4" w14:textId="77777777">
      <w:pPr>
        <w:pStyle w:val="BulletA"/>
      </w:pPr>
      <w:r w:rsidRPr="00472D9A">
        <w:t>vidējais publiskā sektora projektu iesniegumu novērtējums 3,72 punkti;</w:t>
      </w:r>
    </w:p>
    <w:p w:rsidR="00C74116" w:rsidRPr="00472D9A" w:rsidP="00C74116" w14:paraId="1E9E17BA" w14:textId="77777777">
      <w:pPr>
        <w:pStyle w:val="BulletA"/>
      </w:pPr>
      <w:r w:rsidRPr="00472D9A">
        <w:t>vidējais privātā sektora projektu iesniegumu novērtējums 3,36 punkti;</w:t>
      </w:r>
    </w:p>
    <w:p w:rsidR="00404B33" w:rsidRPr="00472D9A" w:rsidP="00C74116" w14:paraId="320103A0" w14:textId="77777777">
      <w:pPr>
        <w:pStyle w:val="BulletA"/>
      </w:pPr>
      <w:r w:rsidRPr="00472D9A">
        <w:t xml:space="preserve">kvalitātes slieksni </w:t>
      </w:r>
      <w:r w:rsidR="009615EA">
        <w:t xml:space="preserve">(10,5 punkti) </w:t>
      </w:r>
      <w:r w:rsidRPr="00472D9A">
        <w:t xml:space="preserve">pārsniedza </w:t>
      </w:r>
      <w:r w:rsidRPr="00472D9A" w:rsidR="007B75E5">
        <w:t>136 projektu iesniegumi (44%);</w:t>
      </w:r>
    </w:p>
    <w:p w:rsidR="00404B33" w:rsidRPr="00472D9A" w:rsidP="00124CD6" w14:paraId="6BF4EEC8" w14:textId="77777777">
      <w:pPr>
        <w:pStyle w:val="BulletF"/>
      </w:pPr>
      <w:r w:rsidRPr="00472D9A">
        <w:t>sociālekonomiskā ietekme</w:t>
      </w:r>
      <w:r w:rsidR="006855CC">
        <w:t xml:space="preserve"> (</w:t>
      </w:r>
      <w:r w:rsidR="009615EA">
        <w:t>minimālais nepieciešamais punktu skaits: 3,5 punkti</w:t>
      </w:r>
      <w:r w:rsidR="006855CC">
        <w:t>)</w:t>
      </w:r>
      <w:r w:rsidRPr="00472D9A">
        <w:t>:</w:t>
      </w:r>
    </w:p>
    <w:p w:rsidR="00404B33" w:rsidRPr="00472D9A" w:rsidP="00404B33" w14:paraId="2E7970CF" w14:textId="77777777">
      <w:pPr>
        <w:pStyle w:val="BulletA"/>
      </w:pPr>
      <w:r w:rsidRPr="00472D9A">
        <w:t>vidējais projektu iesniegumu novērtējums 3,57 punkti;</w:t>
      </w:r>
    </w:p>
    <w:p w:rsidR="00404B33" w:rsidRPr="00472D9A" w:rsidP="00404B33" w14:paraId="03E97C4F" w14:textId="77777777">
      <w:pPr>
        <w:pStyle w:val="BulletA"/>
      </w:pPr>
      <w:r w:rsidRPr="00472D9A">
        <w:t>vidējais publiskā sektora projektu iesniegumu novērtējums 3,67 punkti;</w:t>
      </w:r>
    </w:p>
    <w:p w:rsidR="00404B33" w:rsidRPr="00472D9A" w:rsidP="00404B33" w14:paraId="2F52A4A3" w14:textId="77777777">
      <w:pPr>
        <w:pStyle w:val="BulletA"/>
      </w:pPr>
      <w:r w:rsidRPr="00472D9A">
        <w:t>vidējais privātā sektora projektu iesniegumu novērtējums 3,47 punkti;</w:t>
      </w:r>
    </w:p>
    <w:p w:rsidR="007B75E5" w:rsidRPr="00472D9A" w:rsidP="007B75E5" w14:paraId="1082D510" w14:textId="77777777">
      <w:pPr>
        <w:pStyle w:val="BulletA"/>
      </w:pPr>
      <w:r w:rsidRPr="00472D9A">
        <w:t>kvalitātes slieksni pārsniedza 1</w:t>
      </w:r>
      <w:r w:rsidRPr="00472D9A" w:rsidR="00472D9A">
        <w:t>71</w:t>
      </w:r>
      <w:r w:rsidRPr="00472D9A">
        <w:t xml:space="preserve"> projektu iesniegum</w:t>
      </w:r>
      <w:r w:rsidRPr="00472D9A" w:rsidR="00472D9A">
        <w:t>s</w:t>
      </w:r>
      <w:r w:rsidRPr="00472D9A">
        <w:t xml:space="preserve"> (</w:t>
      </w:r>
      <w:r w:rsidRPr="00472D9A" w:rsidR="00472D9A">
        <w:t>55</w:t>
      </w:r>
      <w:r w:rsidRPr="00472D9A">
        <w:t>%);</w:t>
      </w:r>
    </w:p>
    <w:p w:rsidR="00404B33" w:rsidRPr="00472D9A" w:rsidP="00124CD6" w14:paraId="0634841C" w14:textId="77777777">
      <w:pPr>
        <w:pStyle w:val="BulletF"/>
      </w:pPr>
      <w:r w:rsidRPr="00472D9A">
        <w:t>projekta īstenošanas kvalitāte un efektivitāte</w:t>
      </w:r>
      <w:r w:rsidR="006855CC">
        <w:t xml:space="preserve"> (</w:t>
      </w:r>
      <w:r w:rsidR="009615EA">
        <w:t>minimālais nepieciešamais punktu skaits: 3 punkti</w:t>
      </w:r>
      <w:r w:rsidR="006855CC">
        <w:t>)</w:t>
      </w:r>
      <w:r w:rsidRPr="00472D9A">
        <w:t>:</w:t>
      </w:r>
    </w:p>
    <w:p w:rsidR="00404B33" w:rsidRPr="00472D9A" w:rsidP="00404B33" w14:paraId="27BCC99D" w14:textId="77777777">
      <w:pPr>
        <w:pStyle w:val="BulletA"/>
      </w:pPr>
      <w:r w:rsidRPr="00472D9A">
        <w:t>vidējais projektu iesniegumu novērtējums 3,40 punkti;</w:t>
      </w:r>
    </w:p>
    <w:p w:rsidR="00404B33" w:rsidRPr="00472D9A" w:rsidP="00404B33" w14:paraId="108F62A8" w14:textId="77777777">
      <w:pPr>
        <w:pStyle w:val="BulletA"/>
      </w:pPr>
      <w:r w:rsidRPr="00472D9A">
        <w:t>vidējais publiskā sektora projektu iesniegumu novērtējums 3,62 punkti;</w:t>
      </w:r>
    </w:p>
    <w:p w:rsidR="00404B33" w:rsidRPr="00472D9A" w:rsidP="00404B33" w14:paraId="67C8799B" w14:textId="77777777">
      <w:pPr>
        <w:pStyle w:val="BulletA"/>
      </w:pPr>
      <w:r w:rsidRPr="00472D9A">
        <w:t>vidējais privātā sektora projektu iesniegumu novērtējums 3,17 punkti;</w:t>
      </w:r>
    </w:p>
    <w:p w:rsidR="00472D9A" w:rsidRPr="00472D9A" w:rsidP="00472D9A" w14:paraId="10EE2074" w14:textId="77777777">
      <w:pPr>
        <w:pStyle w:val="BulletA"/>
      </w:pPr>
      <w:r w:rsidRPr="00472D9A">
        <w:t>kvalitātes slieksni pārsniedza 210 projektu iesniegumi (68%).</w:t>
      </w:r>
    </w:p>
    <w:p w:rsidR="00A26E0A" w:rsidRPr="00A26E0A" w:rsidP="00A26E0A" w14:paraId="1A5FC042" w14:textId="77777777"/>
    <w:p w:rsidR="002A2CC8" w:rsidRPr="002A2CC8" w:rsidP="00ED5257" w14:paraId="665F6DB4" w14:textId="77777777">
      <w:pPr>
        <w:jc w:val="center"/>
        <w:rPr>
          <w:lang w:eastAsia="zh-CN" w:bidi="lo-LA"/>
        </w:rPr>
      </w:pPr>
      <w:r>
        <w:rPr>
          <w:noProof/>
          <w:lang w:eastAsia="lv-LV"/>
        </w:rPr>
        <w:drawing>
          <wp:inline distT="0" distB="0" distL="0" distR="0">
            <wp:extent cx="4043445" cy="2335714"/>
            <wp:effectExtent l="0" t="0" r="1460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A2CC8" w:rsidP="002A2CC8" w14:paraId="76008866" w14:textId="77777777">
      <w:pPr>
        <w:pStyle w:val="Caption"/>
        <w:rPr>
          <w:rStyle w:val="BulletsFChar"/>
          <w:rFonts w:eastAsiaTheme="minorEastAsia" w:cstheme="minorBidi"/>
          <w:sz w:val="20"/>
          <w:szCs w:val="20"/>
        </w:rPr>
      </w:pPr>
      <w:bookmarkStart w:id="65" w:name="_Ref494291478"/>
      <w:bookmarkStart w:id="66" w:name="_Ref494291469"/>
      <w:r>
        <w:rPr>
          <w:rStyle w:val="BulletsFChar"/>
          <w:rFonts w:eastAsiaTheme="minorEastAsia" w:cstheme="minorBidi"/>
          <w:sz w:val="20"/>
          <w:szCs w:val="20"/>
        </w:rPr>
        <w:fldChar w:fldCharType="begin"/>
      </w:r>
      <w:r>
        <w:rPr>
          <w:rStyle w:val="BulletsFChar"/>
          <w:rFonts w:eastAsiaTheme="minorEastAsia" w:cstheme="minorBidi"/>
          <w:sz w:val="20"/>
          <w:szCs w:val="20"/>
        </w:rPr>
        <w:instrText xml:space="preserve"> SEQ attēls \* ARABIC </w:instrText>
      </w:r>
      <w:r>
        <w:rPr>
          <w:rStyle w:val="BulletsFChar"/>
          <w:rFonts w:eastAsiaTheme="minorEastAsia" w:cstheme="minorBidi"/>
          <w:sz w:val="20"/>
          <w:szCs w:val="20"/>
        </w:rPr>
        <w:fldChar w:fldCharType="separate"/>
      </w:r>
      <w:r>
        <w:rPr>
          <w:rStyle w:val="BulletsFChar"/>
          <w:rFonts w:eastAsiaTheme="minorEastAsia" w:cstheme="minorBidi"/>
          <w:sz w:val="20"/>
          <w:szCs w:val="20"/>
        </w:rPr>
        <w:t>3</w:t>
      </w:r>
      <w:r>
        <w:rPr>
          <w:rStyle w:val="BulletsFChar"/>
          <w:rFonts w:eastAsiaTheme="minorEastAsia" w:cstheme="minorBidi"/>
          <w:sz w:val="20"/>
          <w:szCs w:val="20"/>
        </w:rPr>
        <w:fldChar w:fldCharType="end"/>
      </w:r>
      <w:r>
        <w:rPr>
          <w:rStyle w:val="BulletsFChar"/>
          <w:rFonts w:eastAsiaTheme="minorEastAsia" w:cstheme="minorBidi"/>
          <w:sz w:val="20"/>
          <w:szCs w:val="20"/>
        </w:rPr>
        <w:t>. attēls</w:t>
      </w:r>
      <w:bookmarkEnd w:id="65"/>
      <w:r>
        <w:rPr>
          <w:rStyle w:val="BulletsFChar"/>
          <w:rFonts w:eastAsiaTheme="minorEastAsia" w:cstheme="minorBidi"/>
          <w:sz w:val="20"/>
          <w:szCs w:val="20"/>
        </w:rPr>
        <w:t xml:space="preserve">. </w:t>
      </w:r>
      <w:r w:rsidR="001E63D3">
        <w:rPr>
          <w:rStyle w:val="BulletsFChar"/>
          <w:rFonts w:eastAsiaTheme="minorEastAsia" w:cstheme="minorBidi"/>
          <w:sz w:val="20"/>
          <w:szCs w:val="20"/>
        </w:rPr>
        <w:t>Praktiskas ievirzes pētījumu programmas</w:t>
      </w:r>
      <w:r>
        <w:rPr>
          <w:rStyle w:val="BulletsFChar"/>
          <w:rFonts w:eastAsiaTheme="minorEastAsia" w:cstheme="minorBidi"/>
          <w:sz w:val="20"/>
          <w:szCs w:val="20"/>
        </w:rPr>
        <w:t xml:space="preserve"> ietvaros iesniegto pētniecības pieteikumu </w:t>
      </w:r>
      <w:r w:rsidR="005A10A2">
        <w:rPr>
          <w:rStyle w:val="BulletsFChar"/>
          <w:rFonts w:eastAsiaTheme="minorEastAsia" w:cstheme="minorBidi"/>
          <w:sz w:val="20"/>
          <w:szCs w:val="20"/>
        </w:rPr>
        <w:t xml:space="preserve">skaita sadalījums atbilstoši kritērija </w:t>
      </w:r>
      <w:r w:rsidR="00A26E0A">
        <w:rPr>
          <w:rStyle w:val="BulletsFChar"/>
          <w:rFonts w:eastAsiaTheme="minorEastAsia" w:cstheme="minorBidi"/>
          <w:sz w:val="20"/>
          <w:szCs w:val="20"/>
        </w:rPr>
        <w:t>“</w:t>
      </w:r>
      <w:r w:rsidR="005A10A2">
        <w:rPr>
          <w:rStyle w:val="BulletsFChar"/>
          <w:rFonts w:eastAsiaTheme="minorEastAsia" w:cstheme="minorBidi"/>
          <w:sz w:val="20"/>
          <w:szCs w:val="20"/>
        </w:rPr>
        <w:t>Pētījuma kvalitāte</w:t>
      </w:r>
      <w:r w:rsidR="00A26E0A">
        <w:rPr>
          <w:rStyle w:val="BulletsFChar"/>
          <w:rFonts w:eastAsiaTheme="minorEastAsia" w:cstheme="minorBidi"/>
          <w:sz w:val="20"/>
          <w:szCs w:val="20"/>
        </w:rPr>
        <w:t>”</w:t>
      </w:r>
      <w:r w:rsidR="005A10A2">
        <w:rPr>
          <w:rStyle w:val="BulletsFChar"/>
          <w:rFonts w:eastAsiaTheme="minorEastAsia" w:cstheme="minorBidi"/>
          <w:sz w:val="20"/>
          <w:szCs w:val="20"/>
        </w:rPr>
        <w:t xml:space="preserve"> vērtējumam (</w:t>
      </w:r>
      <w:r w:rsidR="009615EA">
        <w:rPr>
          <w:rStyle w:val="BulletsFChar"/>
          <w:rFonts w:eastAsiaTheme="minorEastAsia" w:cstheme="minorBidi"/>
          <w:sz w:val="20"/>
          <w:szCs w:val="20"/>
        </w:rPr>
        <w:t>minimālais nepieciešamais punktu skaits 4 punkti</w:t>
      </w:r>
      <w:r w:rsidR="005A10A2">
        <w:rPr>
          <w:rStyle w:val="BulletsFChar"/>
          <w:rFonts w:eastAsiaTheme="minorEastAsia" w:cstheme="minorBidi"/>
          <w:sz w:val="20"/>
          <w:szCs w:val="20"/>
        </w:rPr>
        <w:t>).</w:t>
      </w:r>
      <w:bookmarkEnd w:id="66"/>
    </w:p>
    <w:p w:rsidR="005A10A2" w:rsidP="005A10A2" w14:paraId="0D7DB47B" w14:textId="77777777">
      <w:pPr>
        <w:jc w:val="center"/>
      </w:pPr>
      <w:r>
        <w:rPr>
          <w:noProof/>
          <w:lang w:eastAsia="lv-LV"/>
        </w:rPr>
        <w:drawing>
          <wp:inline distT="0" distB="0" distL="0" distR="0">
            <wp:extent cx="4213243" cy="2251644"/>
            <wp:effectExtent l="0" t="0" r="1587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10A2" w:rsidP="005A10A2" w14:paraId="2A819D3D" w14:textId="77777777">
      <w:pPr>
        <w:pStyle w:val="Caption"/>
        <w:rPr>
          <w:rStyle w:val="BulletsFChar"/>
          <w:rFonts w:eastAsiaTheme="minorEastAsia" w:cstheme="minorBidi"/>
          <w:sz w:val="20"/>
          <w:szCs w:val="20"/>
        </w:rPr>
      </w:pPr>
      <w:bookmarkStart w:id="67" w:name="_Ref494291493"/>
      <w:r>
        <w:rPr>
          <w:rStyle w:val="BulletsFChar"/>
          <w:rFonts w:eastAsiaTheme="minorEastAsia" w:cstheme="minorBidi"/>
          <w:sz w:val="20"/>
          <w:szCs w:val="20"/>
        </w:rPr>
        <w:fldChar w:fldCharType="begin"/>
      </w:r>
      <w:r>
        <w:rPr>
          <w:rStyle w:val="BulletsFChar"/>
          <w:rFonts w:eastAsiaTheme="minorEastAsia" w:cstheme="minorBidi"/>
          <w:sz w:val="20"/>
          <w:szCs w:val="20"/>
        </w:rPr>
        <w:instrText xml:space="preserve"> SEQ attēls \* ARABIC </w:instrText>
      </w:r>
      <w:r>
        <w:rPr>
          <w:rStyle w:val="BulletsFChar"/>
          <w:rFonts w:eastAsiaTheme="minorEastAsia" w:cstheme="minorBidi"/>
          <w:sz w:val="20"/>
          <w:szCs w:val="20"/>
        </w:rPr>
        <w:fldChar w:fldCharType="separate"/>
      </w:r>
      <w:r>
        <w:rPr>
          <w:rStyle w:val="BulletsFChar"/>
          <w:rFonts w:eastAsiaTheme="minorEastAsia" w:cstheme="minorBidi"/>
          <w:sz w:val="20"/>
          <w:szCs w:val="20"/>
        </w:rPr>
        <w:t>4</w:t>
      </w:r>
      <w:r>
        <w:rPr>
          <w:rStyle w:val="BulletsFChar"/>
          <w:rFonts w:eastAsiaTheme="minorEastAsia" w:cstheme="minorBidi"/>
          <w:sz w:val="20"/>
          <w:szCs w:val="20"/>
        </w:rPr>
        <w:fldChar w:fldCharType="end"/>
      </w:r>
      <w:r>
        <w:rPr>
          <w:rStyle w:val="BulletsFChar"/>
          <w:rFonts w:eastAsiaTheme="minorEastAsia" w:cstheme="minorBidi"/>
          <w:sz w:val="20"/>
          <w:szCs w:val="20"/>
        </w:rPr>
        <w:t>. attēls</w:t>
      </w:r>
      <w:bookmarkEnd w:id="67"/>
      <w:r>
        <w:rPr>
          <w:rStyle w:val="BulletsFChar"/>
          <w:rFonts w:eastAsiaTheme="minorEastAsia" w:cstheme="minorBidi"/>
          <w:sz w:val="20"/>
          <w:szCs w:val="20"/>
        </w:rPr>
        <w:t xml:space="preserve">. </w:t>
      </w:r>
      <w:r w:rsidR="001E63D3">
        <w:rPr>
          <w:rStyle w:val="BulletsFChar"/>
          <w:rFonts w:eastAsiaTheme="minorEastAsia" w:cstheme="minorBidi"/>
          <w:sz w:val="20"/>
          <w:szCs w:val="20"/>
        </w:rPr>
        <w:t>Praktiskas ievirzes pētījumu programmas</w:t>
      </w:r>
      <w:r>
        <w:rPr>
          <w:rStyle w:val="BulletsFChar"/>
          <w:rFonts w:eastAsiaTheme="minorEastAsia" w:cstheme="minorBidi"/>
          <w:sz w:val="20"/>
          <w:szCs w:val="20"/>
        </w:rPr>
        <w:t xml:space="preserve"> ietvaros iesniegto pētniecības pieteikumu skaita sadalījums atbilstoši kritērija </w:t>
      </w:r>
      <w:r w:rsidR="00A26E0A">
        <w:rPr>
          <w:rStyle w:val="BulletsFChar"/>
          <w:rFonts w:eastAsiaTheme="minorEastAsia" w:cstheme="minorBidi"/>
          <w:sz w:val="20"/>
          <w:szCs w:val="20"/>
        </w:rPr>
        <w:t>“</w:t>
      </w:r>
      <w:r>
        <w:rPr>
          <w:rStyle w:val="BulletsFChar"/>
          <w:rFonts w:eastAsiaTheme="minorEastAsia" w:cstheme="minorBidi"/>
          <w:sz w:val="20"/>
          <w:szCs w:val="20"/>
        </w:rPr>
        <w:t>Sociālekonomiskā ietekme</w:t>
      </w:r>
      <w:r w:rsidR="00A26E0A">
        <w:rPr>
          <w:rStyle w:val="BulletsFChar"/>
          <w:rFonts w:eastAsiaTheme="minorEastAsia" w:cstheme="minorBidi"/>
          <w:sz w:val="20"/>
          <w:szCs w:val="20"/>
        </w:rPr>
        <w:t>”</w:t>
      </w:r>
      <w:r>
        <w:rPr>
          <w:rStyle w:val="BulletsFChar"/>
          <w:rFonts w:eastAsiaTheme="minorEastAsia" w:cstheme="minorBidi"/>
          <w:sz w:val="20"/>
          <w:szCs w:val="20"/>
        </w:rPr>
        <w:t xml:space="preserve"> vērtējumam (</w:t>
      </w:r>
      <w:r w:rsidR="009615EA">
        <w:rPr>
          <w:rStyle w:val="BulletsFChar"/>
          <w:rFonts w:eastAsiaTheme="minorEastAsia" w:cstheme="minorBidi"/>
          <w:sz w:val="20"/>
          <w:szCs w:val="20"/>
        </w:rPr>
        <w:t>minimālais nepieciešamais punktu skaits 3,5 punkti</w:t>
      </w:r>
      <w:r>
        <w:rPr>
          <w:rStyle w:val="BulletsFChar"/>
          <w:rFonts w:eastAsiaTheme="minorEastAsia" w:cstheme="minorBidi"/>
          <w:sz w:val="20"/>
          <w:szCs w:val="20"/>
        </w:rPr>
        <w:t>).</w:t>
      </w:r>
    </w:p>
    <w:p w:rsidR="005A10A2" w:rsidP="005A10A2" w14:paraId="4979FCBC" w14:textId="77777777">
      <w:pPr>
        <w:jc w:val="center"/>
      </w:pPr>
      <w:r>
        <w:rPr>
          <w:noProof/>
          <w:lang w:eastAsia="lv-LV"/>
        </w:rPr>
        <w:drawing>
          <wp:inline distT="0" distB="0" distL="0" distR="0">
            <wp:extent cx="4253766" cy="2505350"/>
            <wp:effectExtent l="0" t="0" r="1397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2BF6" w:rsidRPr="00687A03" w:rsidP="00EA0824" w14:paraId="67E18E63" w14:textId="77777777">
      <w:pPr>
        <w:pStyle w:val="Caption"/>
      </w:pPr>
      <w:bookmarkStart w:id="68" w:name="_Ref494291498"/>
      <w:r>
        <w:rPr>
          <w:rStyle w:val="BulletsFChar"/>
          <w:rFonts w:eastAsiaTheme="minorEastAsia" w:cstheme="minorBidi"/>
          <w:sz w:val="20"/>
          <w:szCs w:val="20"/>
        </w:rPr>
        <w:fldChar w:fldCharType="begin"/>
      </w:r>
      <w:r>
        <w:rPr>
          <w:rStyle w:val="BulletsFChar"/>
          <w:rFonts w:eastAsiaTheme="minorEastAsia" w:cstheme="minorBidi"/>
          <w:sz w:val="20"/>
          <w:szCs w:val="20"/>
        </w:rPr>
        <w:instrText xml:space="preserve"> SEQ attēls \* ARABIC </w:instrText>
      </w:r>
      <w:r>
        <w:rPr>
          <w:rStyle w:val="BulletsFChar"/>
          <w:rFonts w:eastAsiaTheme="minorEastAsia" w:cstheme="minorBidi"/>
          <w:sz w:val="20"/>
          <w:szCs w:val="20"/>
        </w:rPr>
        <w:fldChar w:fldCharType="separate"/>
      </w:r>
      <w:r>
        <w:rPr>
          <w:rStyle w:val="BulletsFChar"/>
          <w:rFonts w:eastAsiaTheme="minorEastAsia" w:cstheme="minorBidi"/>
          <w:sz w:val="20"/>
          <w:szCs w:val="20"/>
        </w:rPr>
        <w:t>5</w:t>
      </w:r>
      <w:r>
        <w:rPr>
          <w:rStyle w:val="BulletsFChar"/>
          <w:rFonts w:eastAsiaTheme="minorEastAsia" w:cstheme="minorBidi"/>
          <w:sz w:val="20"/>
          <w:szCs w:val="20"/>
        </w:rPr>
        <w:fldChar w:fldCharType="end"/>
      </w:r>
      <w:r>
        <w:rPr>
          <w:rStyle w:val="BulletsFChar"/>
          <w:rFonts w:eastAsiaTheme="minorEastAsia" w:cstheme="minorBidi"/>
          <w:sz w:val="20"/>
          <w:szCs w:val="20"/>
        </w:rPr>
        <w:t>. attēls</w:t>
      </w:r>
      <w:bookmarkEnd w:id="68"/>
      <w:r>
        <w:rPr>
          <w:rStyle w:val="BulletsFChar"/>
          <w:rFonts w:eastAsiaTheme="minorEastAsia" w:cstheme="minorBidi"/>
          <w:sz w:val="20"/>
          <w:szCs w:val="20"/>
        </w:rPr>
        <w:t xml:space="preserve">. </w:t>
      </w:r>
      <w:r w:rsidR="001E63D3">
        <w:rPr>
          <w:rStyle w:val="BulletsFChar"/>
          <w:rFonts w:eastAsiaTheme="minorEastAsia" w:cstheme="minorBidi"/>
          <w:sz w:val="20"/>
          <w:szCs w:val="20"/>
        </w:rPr>
        <w:t>Praktiskas ievirzes pētījumu programmas</w:t>
      </w:r>
      <w:r>
        <w:rPr>
          <w:rStyle w:val="BulletsFChar"/>
          <w:rFonts w:eastAsiaTheme="minorEastAsia" w:cstheme="minorBidi"/>
          <w:sz w:val="20"/>
          <w:szCs w:val="20"/>
        </w:rPr>
        <w:t xml:space="preserve"> ietvaros iesniegto pētniecības pieteikumu skaita sadalījums atbilstoši kritērija </w:t>
      </w:r>
      <w:r w:rsidR="00A26E0A">
        <w:rPr>
          <w:rStyle w:val="BulletsFChar"/>
          <w:rFonts w:eastAsiaTheme="minorEastAsia" w:cstheme="minorBidi"/>
          <w:sz w:val="20"/>
          <w:szCs w:val="20"/>
        </w:rPr>
        <w:t>“</w:t>
      </w:r>
      <w:r w:rsidR="00BD060A">
        <w:rPr>
          <w:rStyle w:val="BulletsFChar"/>
          <w:rFonts w:eastAsiaTheme="minorEastAsia" w:cstheme="minorBidi"/>
          <w:sz w:val="20"/>
          <w:szCs w:val="20"/>
        </w:rPr>
        <w:t>Īstenošanas kvalitāte un efektivitāte</w:t>
      </w:r>
      <w:r w:rsidR="00A26E0A">
        <w:rPr>
          <w:rStyle w:val="BulletsFChar"/>
          <w:rFonts w:eastAsiaTheme="minorEastAsia" w:cstheme="minorBidi"/>
          <w:sz w:val="20"/>
          <w:szCs w:val="20"/>
        </w:rPr>
        <w:t>”</w:t>
      </w:r>
      <w:r>
        <w:rPr>
          <w:rStyle w:val="BulletsFChar"/>
          <w:rFonts w:eastAsiaTheme="minorEastAsia" w:cstheme="minorBidi"/>
          <w:sz w:val="20"/>
          <w:szCs w:val="20"/>
        </w:rPr>
        <w:t xml:space="preserve"> vērtējumam (</w:t>
      </w:r>
      <w:r w:rsidR="009615EA">
        <w:rPr>
          <w:rStyle w:val="BulletsFChar"/>
          <w:rFonts w:eastAsiaTheme="minorEastAsia" w:cstheme="minorBidi"/>
          <w:sz w:val="20"/>
          <w:szCs w:val="20"/>
        </w:rPr>
        <w:t>minimālais nepieciešamais punktu skaits 3 punkti</w:t>
      </w:r>
      <w:r>
        <w:rPr>
          <w:rStyle w:val="BulletsFChar"/>
          <w:rFonts w:eastAsiaTheme="minorEastAsia" w:cstheme="minorBidi"/>
          <w:sz w:val="20"/>
          <w:szCs w:val="20"/>
        </w:rPr>
        <w:t>).</w:t>
      </w:r>
    </w:p>
    <w:p w:rsidR="00787418" w:rsidP="008961F0" w14:paraId="532060DA" w14:textId="77777777">
      <w:pPr>
        <w:pStyle w:val="Heading3"/>
        <w:rPr>
          <w:rStyle w:val="BulletsFChar"/>
        </w:rPr>
      </w:pPr>
      <w:bookmarkStart w:id="69" w:name="_Toc499019517"/>
      <w:bookmarkStart w:id="70" w:name="_Toc505086373"/>
      <w:bookmarkStart w:id="71" w:name="_Toc256000011"/>
      <w:bookmarkStart w:id="72" w:name="_Toc256000038"/>
      <w:r>
        <w:rPr>
          <w:rStyle w:val="BulletsFChar"/>
        </w:rPr>
        <w:t>2</w:t>
      </w:r>
      <w:r w:rsidRPr="002E12C1">
        <w:rPr>
          <w:rStyle w:val="BulletsFChar"/>
        </w:rPr>
        <w:t>.1.2</w:t>
      </w:r>
      <w:r w:rsidRPr="005C1071">
        <w:rPr>
          <w:rStyle w:val="BulletsFChar"/>
        </w:rPr>
        <w:t>. Pēcdoktorantūras pētniecība</w:t>
      </w:r>
      <w:r w:rsidR="00D14E3E">
        <w:rPr>
          <w:rStyle w:val="BulletsFChar"/>
        </w:rPr>
        <w:t>s</w:t>
      </w:r>
      <w:r w:rsidR="006833FD">
        <w:rPr>
          <w:rStyle w:val="BulletsFChar"/>
        </w:rPr>
        <w:t xml:space="preserve"> </w:t>
      </w:r>
      <w:bookmarkEnd w:id="69"/>
      <w:r w:rsidR="006833FD">
        <w:rPr>
          <w:rStyle w:val="BulletsFChar"/>
        </w:rPr>
        <w:t>programma</w:t>
      </w:r>
      <w:bookmarkEnd w:id="72"/>
      <w:bookmarkEnd w:id="71"/>
      <w:bookmarkEnd w:id="70"/>
    </w:p>
    <w:p w:rsidR="00BC6A75" w:rsidP="00BC6A75" w14:paraId="1C3072D3" w14:textId="77777777">
      <w:pPr>
        <w:spacing w:after="0"/>
        <w:rPr>
          <w:szCs w:val="24"/>
        </w:rPr>
      </w:pPr>
      <w:r w:rsidRPr="005C1071">
        <w:rPr>
          <w:rStyle w:val="BulletsFChar"/>
        </w:rPr>
        <w:t xml:space="preserve">Pēcdoktorantūras pētniecības </w:t>
      </w:r>
      <w:r>
        <w:rPr>
          <w:rStyle w:val="BulletsFChar"/>
        </w:rPr>
        <w:t>programmas</w:t>
      </w:r>
      <w:r w:rsidRPr="00F77DD2">
        <w:rPr>
          <w:rStyle w:val="BulletsFChar"/>
        </w:rPr>
        <w:t xml:space="preserve"> </w:t>
      </w:r>
      <w:r>
        <w:rPr>
          <w:szCs w:val="24"/>
        </w:rPr>
        <w:t>pirmā atlases kārta tika izsludināta 2016.</w:t>
      </w:r>
      <w:r w:rsidR="00403EFC">
        <w:rPr>
          <w:szCs w:val="24"/>
        </w:rPr>
        <w:t xml:space="preserve"> </w:t>
      </w:r>
      <w:r>
        <w:rPr>
          <w:szCs w:val="24"/>
        </w:rPr>
        <w:t>gada 15.</w:t>
      </w:r>
      <w:r w:rsidR="00D14E3E">
        <w:rPr>
          <w:szCs w:val="24"/>
        </w:rPr>
        <w:t> </w:t>
      </w:r>
      <w:r>
        <w:rPr>
          <w:szCs w:val="24"/>
        </w:rPr>
        <w:t>septembrī</w:t>
      </w:r>
      <w:r w:rsidR="00E4788F">
        <w:rPr>
          <w:szCs w:val="24"/>
        </w:rPr>
        <w:t>, nosakot, ka p</w:t>
      </w:r>
      <w:r>
        <w:rPr>
          <w:szCs w:val="24"/>
        </w:rPr>
        <w:t xml:space="preserve">ētniecības pieteikumu iesniegšanas termiņš </w:t>
      </w:r>
      <w:r w:rsidR="00E4788F">
        <w:rPr>
          <w:szCs w:val="24"/>
        </w:rPr>
        <w:t>ir</w:t>
      </w:r>
      <w:r>
        <w:rPr>
          <w:szCs w:val="24"/>
        </w:rPr>
        <w:t xml:space="preserve"> 2016.</w:t>
      </w:r>
      <w:r w:rsidR="00403EFC">
        <w:rPr>
          <w:szCs w:val="24"/>
        </w:rPr>
        <w:t xml:space="preserve"> </w:t>
      </w:r>
      <w:r>
        <w:rPr>
          <w:szCs w:val="24"/>
        </w:rPr>
        <w:t>gada 30.</w:t>
      </w:r>
      <w:r w:rsidR="00D14E3E">
        <w:rPr>
          <w:szCs w:val="24"/>
        </w:rPr>
        <w:t> </w:t>
      </w:r>
      <w:r>
        <w:rPr>
          <w:szCs w:val="24"/>
        </w:rPr>
        <w:t xml:space="preserve">novembris, lai zinātniskās institūcijas varētu kvalitatīvi veikt pēcdoktorantu priekšatlasi, sagatavot pētniecības pieteikumus iesniegšanai, </w:t>
      </w:r>
      <w:r w:rsidR="00B67D59">
        <w:rPr>
          <w:szCs w:val="24"/>
        </w:rPr>
        <w:t>vienlaikus</w:t>
      </w:r>
      <w:r>
        <w:rPr>
          <w:szCs w:val="24"/>
        </w:rPr>
        <w:t xml:space="preserve"> </w:t>
      </w:r>
      <w:r w:rsidR="00B67D59">
        <w:rPr>
          <w:szCs w:val="24"/>
        </w:rPr>
        <w:t xml:space="preserve">ievērojot </w:t>
      </w:r>
      <w:r>
        <w:rPr>
          <w:szCs w:val="24"/>
        </w:rPr>
        <w:t xml:space="preserve">sludinājuma ievietošanas nosacījumus </w:t>
      </w:r>
      <w:r w:rsidRPr="002C3FB4">
        <w:rPr>
          <w:i/>
          <w:szCs w:val="24"/>
        </w:rPr>
        <w:t xml:space="preserve">Euraxess </w:t>
      </w:r>
      <w:r>
        <w:rPr>
          <w:szCs w:val="24"/>
        </w:rPr>
        <w:t xml:space="preserve">portālā. </w:t>
      </w:r>
    </w:p>
    <w:p w:rsidR="008F3C8B" w:rsidP="008F1F90" w14:paraId="09B1C426" w14:textId="77777777">
      <w:pPr>
        <w:spacing w:after="0"/>
        <w:rPr>
          <w:szCs w:val="24"/>
        </w:rPr>
      </w:pPr>
      <w:r>
        <w:rPr>
          <w:szCs w:val="24"/>
        </w:rPr>
        <w:t xml:space="preserve">Kopumā pētniecības pieteikumu sagatavošanas termiņš bija optimāls, lai </w:t>
      </w:r>
      <w:r w:rsidR="008F1F90">
        <w:rPr>
          <w:szCs w:val="24"/>
        </w:rPr>
        <w:t xml:space="preserve">zinātniskās institūcijas varētu savlaicīgi un sekmīgi organizēt priekšatlasi. VIAA sekoja līdzi, lai zinātniskās institūcijas izsludinātu priekšatlasi arī angļu valodā, un potenciālie ārvalstu pēcdoktoranti varētu iepazīties ar šiem sludinājumiem un pieteikties priekšatlasei. </w:t>
      </w:r>
    </w:p>
    <w:p w:rsidR="004D7B4F" w:rsidRPr="004D7B4F" w:rsidP="004D7B4F" w14:paraId="03BEA1D4" w14:textId="77777777">
      <w:pPr>
        <w:spacing w:after="0"/>
        <w:rPr>
          <w:szCs w:val="24"/>
        </w:rPr>
      </w:pPr>
      <w:r>
        <w:rPr>
          <w:szCs w:val="24"/>
        </w:rPr>
        <w:t>Saskaņā ar VIAA izstrādāto atlases nolikumu</w:t>
      </w:r>
      <w:r>
        <w:rPr>
          <w:szCs w:val="24"/>
        </w:rPr>
        <w:t>:</w:t>
      </w:r>
    </w:p>
    <w:p w:rsidR="004D7B4F" w:rsidP="00124CD6" w14:paraId="4352E216" w14:textId="77777777">
      <w:pPr>
        <w:pStyle w:val="BulletF"/>
      </w:pPr>
      <w:r>
        <w:t>p</w:t>
      </w:r>
      <w:r w:rsidRPr="00DF6BC0" w:rsidR="00923B54">
        <w:t>ētniecības pieteikumu administratīvo un atbilstības vērtēšanu veic vērtēšanas komisija atbilstoši pētniecības pieteikumu administratīvās un atbilstības vērtēšanas kritērijiem (atlases nolikuma 3.pielikums), izmantojot pētniecības pieteikumu administratīvās un atbilstības vērtēšanas vadlīnijas un metodiku (atlases nolikuma 4.pielikums), sniedzot vērtējumu un vērtējumu pamatojošus komentārus</w:t>
      </w:r>
      <w:r w:rsidRPr="00716BC3" w:rsidR="00923B54">
        <w:t>.</w:t>
      </w:r>
      <w:r w:rsidR="00923B54">
        <w:t xml:space="preserve"> </w:t>
      </w:r>
      <w:r>
        <w:t xml:space="preserve">Vērtēšanu veic </w:t>
      </w:r>
      <w:r w:rsidRPr="00920720">
        <w:rPr>
          <w:i/>
        </w:rPr>
        <w:t>PostDoc</w:t>
      </w:r>
      <w:r>
        <w:t xml:space="preserve"> IT sistēmā</w:t>
      </w:r>
      <w:r>
        <w:t>;</w:t>
      </w:r>
    </w:p>
    <w:p w:rsidR="004D7B4F" w:rsidRPr="00DF6BC0" w:rsidP="00124CD6" w14:paraId="5DB835F0" w14:textId="77777777">
      <w:pPr>
        <w:pStyle w:val="BulletF"/>
      </w:pPr>
      <w:r>
        <w:t>p</w:t>
      </w:r>
      <w:r w:rsidRPr="00DF6BC0">
        <w:t xml:space="preserve">ētniecības pieteikumu zinātniskās kvalitātes vērtēšanai </w:t>
      </w:r>
      <w:r>
        <w:t>VIAA</w:t>
      </w:r>
      <w:r w:rsidRPr="00DF6BC0">
        <w:t xml:space="preserve"> organizē Eiropas Komisijas datubāzē iekļauto ekspertu atlasi un ekspertīzes veikšanu atbilstoši Eiropas Savienības pētniecības un inovāciju pamatprogrammas </w:t>
      </w:r>
      <w:r w:rsidR="00A26E0A">
        <w:t>“</w:t>
      </w:r>
      <w:r w:rsidRPr="00DF6BC0">
        <w:t>Apvārsnis 2020</w:t>
      </w:r>
      <w:r w:rsidR="00A26E0A">
        <w:t>”</w:t>
      </w:r>
      <w:r w:rsidRPr="00DF6BC0">
        <w:t xml:space="preserve"> Marijas Skladovskas-Kirī programmas </w:t>
      </w:r>
      <w:r w:rsidR="00A26E0A">
        <w:t>“</w:t>
      </w:r>
      <w:r w:rsidRPr="00DF6BC0">
        <w:t>Individuālās stipendijas</w:t>
      </w:r>
      <w:r w:rsidR="00A26E0A">
        <w:t>”</w:t>
      </w:r>
      <w:r w:rsidRPr="00DF6BC0">
        <w:t xml:space="preserve"> vērtēšanas pieejai un principiem. Vērtēšanai ārvalstu eksperti izmanto pētniecības pieteikumu zinātniskās kvalitātes vērtēšanas vadlīnijas un kritērijus (atlases nolikuma 5.pielikums), sniedzot vērtējumu un vērtējumu pamatojošus komentārus</w:t>
      </w:r>
      <w:r>
        <w:t>;</w:t>
      </w:r>
    </w:p>
    <w:p w:rsidR="00923B54" w:rsidRPr="004D7B4F" w:rsidP="00124CD6" w14:paraId="7EFA311E" w14:textId="77777777">
      <w:pPr>
        <w:pStyle w:val="BulletF"/>
      </w:pPr>
      <w:r>
        <w:t xml:space="preserve">tika paredzēts, ka, </w:t>
      </w:r>
      <w:r w:rsidR="004D7B4F">
        <w:t>j</w:t>
      </w:r>
      <w:r w:rsidRPr="00DF6BC0" w:rsidR="004D7B4F">
        <w:t xml:space="preserve">a pētniecības pieteikuma iesniedzējs ir iesniedzis pētniecības pieteikumu ārvalsts pēcdoktoranta piesaistei, kas tika iesniegts Eiropas Savienības pētniecības un inovāciju pamatprogrammas </w:t>
      </w:r>
      <w:r w:rsidR="00A26E0A">
        <w:t>“</w:t>
      </w:r>
      <w:r w:rsidRPr="00DF6BC0" w:rsidR="004D7B4F">
        <w:t>Apvārsnis 2020</w:t>
      </w:r>
      <w:r w:rsidR="00A26E0A">
        <w:t>”</w:t>
      </w:r>
      <w:r w:rsidRPr="00DF6BC0" w:rsidR="004D7B4F">
        <w:t xml:space="preserve"> Marijas Sklodovskas-Kirī programmā </w:t>
      </w:r>
      <w:r w:rsidR="00A26E0A">
        <w:t>“</w:t>
      </w:r>
      <w:r w:rsidRPr="00DF6BC0" w:rsidR="004D7B4F">
        <w:t>Individuālās stipendijas</w:t>
      </w:r>
      <w:r w:rsidR="00A26E0A">
        <w:t>”</w:t>
      </w:r>
      <w:r w:rsidRPr="00DF6BC0" w:rsidR="004D7B4F">
        <w:t xml:space="preserve"> un minētajā projektu iesniegumu vērtēšanā novērtēts virs kvalitātes sliekšņa, bet nesaņēma finansējumu projekta īstenošanai, šiem pētniecības pieteikumiem veic administratīvo un atbilstības vērtēšanu, bet neveic zinātniskās kvalitātes vērtēšanu. Zinātniskās kvalitātes noteikšanai izmanto Eiropas Savienības pētniecības un inovāciju pamatprogrammas </w:t>
      </w:r>
      <w:r w:rsidR="00A26E0A">
        <w:t>“</w:t>
      </w:r>
      <w:r w:rsidRPr="00DF6BC0" w:rsidR="004D7B4F">
        <w:t>Apvārsnis 2020</w:t>
      </w:r>
      <w:r w:rsidR="00A26E0A">
        <w:t>”</w:t>
      </w:r>
      <w:r w:rsidRPr="00DF6BC0" w:rsidR="004D7B4F">
        <w:t xml:space="preserve"> Marijas Sklodovskas-Kirī programmas </w:t>
      </w:r>
      <w:r w:rsidR="00A26E0A">
        <w:t>“</w:t>
      </w:r>
      <w:r w:rsidRPr="00DF6BC0" w:rsidR="004D7B4F">
        <w:t>Individuālās stipendijas</w:t>
      </w:r>
      <w:r w:rsidR="00A26E0A">
        <w:t>”</w:t>
      </w:r>
      <w:r w:rsidRPr="00DF6BC0" w:rsidR="004D7B4F">
        <w:t xml:space="preserve"> ietvaros saņemto ekspertu vērtējumu pa</w:t>
      </w:r>
      <w:r w:rsidR="004D7B4F">
        <w:t>r projekta zinātnisko kvalitāti.</w:t>
      </w:r>
      <w:r w:rsidR="00C65116">
        <w:t xml:space="preserve"> </w:t>
      </w:r>
      <w:r w:rsidR="00425240">
        <w:t xml:space="preserve">Saskaņā ar pirmās atlases kārtas rezultātiem, neviens </w:t>
      </w:r>
      <w:r w:rsidRPr="00DF6BC0" w:rsidR="00425240">
        <w:t xml:space="preserve">pamatprogrammas </w:t>
      </w:r>
      <w:r w:rsidR="00425240">
        <w:t>“</w:t>
      </w:r>
      <w:r w:rsidRPr="00DF6BC0" w:rsidR="00425240">
        <w:t>Apvārsnis 2020</w:t>
      </w:r>
      <w:r w:rsidR="00425240">
        <w:t>”</w:t>
      </w:r>
      <w:r w:rsidRPr="00DF6BC0" w:rsidR="00425240">
        <w:t xml:space="preserve"> Marijas Sklodovskas-Kirī programmā </w:t>
      </w:r>
      <w:r w:rsidR="00425240">
        <w:t>“</w:t>
      </w:r>
      <w:r w:rsidRPr="00DF6BC0" w:rsidR="00425240">
        <w:t>Individuālās stipendijas</w:t>
      </w:r>
      <w:r w:rsidR="00425240">
        <w:t>” iesniegt</w:t>
      </w:r>
      <w:r w:rsidR="00ED5257">
        <w:t>ai</w:t>
      </w:r>
      <w:r w:rsidR="00425240">
        <w:t>s un virs kvalitātes sliekšņa novērtēt</w:t>
      </w:r>
      <w:r w:rsidR="00ED5257">
        <w:t>ai</w:t>
      </w:r>
      <w:r w:rsidR="00425240">
        <w:t xml:space="preserve">s pētniecības pieteikums </w:t>
      </w:r>
      <w:r w:rsidRPr="005C1071" w:rsidR="006833FD">
        <w:rPr>
          <w:rStyle w:val="BulletsFChar"/>
        </w:rPr>
        <w:t xml:space="preserve">Pēcdoktorantūras pētniecības </w:t>
      </w:r>
      <w:r w:rsidR="006833FD">
        <w:rPr>
          <w:rStyle w:val="BulletsFChar"/>
        </w:rPr>
        <w:t>programmas</w:t>
      </w:r>
      <w:r w:rsidRPr="00F77DD2" w:rsidR="006833FD">
        <w:rPr>
          <w:rStyle w:val="BulletsFChar"/>
        </w:rPr>
        <w:t xml:space="preserve"> </w:t>
      </w:r>
      <w:r w:rsidR="00ED5257">
        <w:t xml:space="preserve">ietvaros </w:t>
      </w:r>
      <w:r w:rsidR="00425240">
        <w:t xml:space="preserve">netika iesniegts. </w:t>
      </w:r>
    </w:p>
    <w:p w:rsidR="00D14E3E" w:rsidP="00923B54" w14:paraId="5F3B528B" w14:textId="77777777">
      <w:pPr>
        <w:spacing w:after="0"/>
        <w:rPr>
          <w:szCs w:val="24"/>
        </w:rPr>
      </w:pPr>
    </w:p>
    <w:p w:rsidR="00923B54" w:rsidP="00923B54" w14:paraId="01DA8813" w14:textId="77777777">
      <w:pPr>
        <w:spacing w:after="0"/>
        <w:rPr>
          <w:szCs w:val="24"/>
        </w:rPr>
      </w:pPr>
      <w:r>
        <w:rPr>
          <w:szCs w:val="24"/>
        </w:rPr>
        <w:t xml:space="preserve">Pirms vērtēšanas procesa uzsākšanas VIAA darbinieki klātienē iepazinās ar CFLA pieredzi </w:t>
      </w:r>
      <w:r w:rsidR="006833FD">
        <w:rPr>
          <w:szCs w:val="24"/>
        </w:rPr>
        <w:t>Praktisko pētījumu programmas</w:t>
      </w:r>
      <w:r>
        <w:rPr>
          <w:szCs w:val="24"/>
        </w:rPr>
        <w:t xml:space="preserve"> ietvaros iesniegto pieteikumu vērtēšanā. </w:t>
      </w:r>
    </w:p>
    <w:p w:rsidR="00923B54" w:rsidP="00923B54" w14:paraId="37A2F1C2" w14:textId="77777777">
      <w:pPr>
        <w:spacing w:after="0"/>
        <w:rPr>
          <w:szCs w:val="24"/>
        </w:rPr>
      </w:pPr>
      <w:r>
        <w:rPr>
          <w:szCs w:val="24"/>
        </w:rPr>
        <w:t>Problēmas administratīvo un atbilstības kritēriju vērtēšanas procesā radīja šādi aspekti:</w:t>
      </w:r>
    </w:p>
    <w:p w:rsidR="00923B54" w:rsidP="00124CD6" w14:paraId="01216371" w14:textId="77777777">
      <w:pPr>
        <w:pStyle w:val="BulletF"/>
      </w:pPr>
      <w:r>
        <w:t>VIAA darbiniekiem nebija pieredzes grūtībās nonākušu komersantu statusa vērtēšanā, tāpēc tika pārņemta CFLA pieredze un tika izmantots CFLA izstrādātais informatīvais materiāls grūtībās nonākušu komersantu statusa novērtēšanai</w:t>
      </w:r>
      <w:r>
        <w:rPr>
          <w:rStyle w:val="FootnoteReference"/>
        </w:rPr>
        <w:footnoteReference w:id="4"/>
      </w:r>
      <w:r>
        <w:t>;</w:t>
      </w:r>
    </w:p>
    <w:p w:rsidR="00923B54" w:rsidP="00124CD6" w14:paraId="78F0A6DC" w14:textId="77777777">
      <w:pPr>
        <w:pStyle w:val="BulletF"/>
      </w:pPr>
      <w:r w:rsidRPr="00BB3FED">
        <w:t>vairāku pētniecības pieteikum</w:t>
      </w:r>
      <w:r>
        <w:t>u ietvaros</w:t>
      </w:r>
      <w:r w:rsidRPr="00BB3FED">
        <w:t xml:space="preserve"> </w:t>
      </w:r>
      <w:r w:rsidR="009F514D">
        <w:t>tika</w:t>
      </w:r>
      <w:r w:rsidRPr="00BB3FED">
        <w:t xml:space="preserve"> plānoti tādi sadarbības partneri, kas neatbilst MK noteikumu Nr.</w:t>
      </w:r>
      <w:r w:rsidR="009F514D">
        <w:t xml:space="preserve"> </w:t>
      </w:r>
      <w:r w:rsidRPr="00BB3FED">
        <w:t xml:space="preserve">50 nosacījumiem (piemēram, biedrības, tiešās pārvaldes iestādes). </w:t>
      </w:r>
      <w:r>
        <w:t>Atbilstoši konsultācijās ar IZM pārrunātajam 1.18.</w:t>
      </w:r>
      <w:r w:rsidR="009F514D">
        <w:t xml:space="preserve"> </w:t>
      </w:r>
      <w:r>
        <w:t xml:space="preserve">kritērija </w:t>
      </w:r>
      <w:r w:rsidR="00A26E0A">
        <w:t>“</w:t>
      </w:r>
      <w:r w:rsidRPr="00920720">
        <w:t>Pētniecības pieteikuma iesniedzēja sadarbības partneris atbilst SAM MK noteikumos noteiktajām prasībām</w:t>
      </w:r>
      <w:r w:rsidR="00A26E0A">
        <w:t>”</w:t>
      </w:r>
      <w:r>
        <w:t xml:space="preserve"> ietvaros tika vērtēta sadarbības partnera atbilstība MK noteikumu Nr.</w:t>
      </w:r>
      <w:r w:rsidR="009F514D">
        <w:t xml:space="preserve"> </w:t>
      </w:r>
      <w:r>
        <w:t>50 prasībām, atsevišķos gadījumos ļaujot neatbilstošo partneri aizstāt ar līdzvērtīgu;</w:t>
      </w:r>
    </w:p>
    <w:p w:rsidR="00923B54" w:rsidP="00124CD6" w14:paraId="433E4AB2" w14:textId="77777777">
      <w:pPr>
        <w:pStyle w:val="BulletF"/>
      </w:pPr>
      <w:r>
        <w:t>vairākos pētniecības pieteikumos plānotas darbības, kas daļēji vai pilnībā neatbilst pētnieciskajām darbībām (piemēram, studiju kursu izstrāde, konferenču organizēšana, lekciju lasīšana, mājaslapu izveide, e-platformu izveide). Atbilstoši konsultācijās ar IZM pārrunātajam, kritērija Nr.1.12.</w:t>
      </w:r>
      <w:r>
        <w:rPr>
          <w:rStyle w:val="FootnoteReference"/>
        </w:rPr>
        <w:footnoteReference w:id="5"/>
      </w:r>
      <w:r>
        <w:t xml:space="preserve"> un Nr.1.14.</w:t>
      </w:r>
      <w:r>
        <w:rPr>
          <w:rStyle w:val="FootnoteReference"/>
        </w:rPr>
        <w:footnoteReference w:id="6"/>
      </w:r>
      <w:r>
        <w:t xml:space="preserve"> kritērija ietvaros tika lūgts sniegt detalizētāku pamatojumu pētniecības pieteikumā plānoto darbību atbilstībai pētnieciskām darbībām vai neatbilstošo darbību svītrot no pētniecības pieteikuma.</w:t>
      </w:r>
    </w:p>
    <w:p w:rsidR="00923B54" w:rsidP="00923B54" w14:paraId="47C46EF2" w14:textId="77777777">
      <w:r>
        <w:t xml:space="preserve">Lai nodrošinātu ārvalstu ekspertu atlasi, tika ņemta vērā CFLA pieredze, izstrādājot un ar IZM saskaņojot ārvalstu ekspertu atlases metodiku. Ārvalstu ekspertu atlasē </w:t>
      </w:r>
      <w:r w:rsidR="00311C51">
        <w:t>tika piemērots</w:t>
      </w:r>
      <w:r>
        <w:t xml:space="preserve"> līdzinieka </w:t>
      </w:r>
      <w:r w:rsidR="00311C51">
        <w:t>(</w:t>
      </w:r>
      <w:r w:rsidRPr="00311C51" w:rsidR="00311C51">
        <w:rPr>
          <w:i/>
        </w:rPr>
        <w:t>peer</w:t>
      </w:r>
      <w:r w:rsidR="00311C51">
        <w:t xml:space="preserve">) </w:t>
      </w:r>
      <w:r>
        <w:t xml:space="preserve">princips (t.i., par ekspertu tika atlasīts zinātnieks </w:t>
      </w:r>
      <w:r w:rsidR="00311C51">
        <w:t xml:space="preserve">projektam </w:t>
      </w:r>
      <w:r>
        <w:t>atbilstoš</w:t>
      </w:r>
      <w:r w:rsidR="00311C51">
        <w:t>ajā</w:t>
      </w:r>
      <w:r>
        <w:t xml:space="preserve"> </w:t>
      </w:r>
      <w:r>
        <w:t>zinātnes nozar</w:t>
      </w:r>
      <w:r w:rsidR="00311C51">
        <w:t>ē</w:t>
      </w:r>
      <w:r>
        <w:t xml:space="preserve"> </w:t>
      </w:r>
      <w:r w:rsidR="00311C51">
        <w:t>ar</w:t>
      </w:r>
      <w:r>
        <w:t xml:space="preserve"> </w:t>
      </w:r>
      <w:r w:rsidR="00311C51">
        <w:t xml:space="preserve">pēcdoktorantam </w:t>
      </w:r>
      <w:r>
        <w:t xml:space="preserve">līdzvērtīgu vai augstāku </w:t>
      </w:r>
      <w:r w:rsidR="00311C51">
        <w:t>zinātniskās darbības kvalitāti raksturojošu parametru – Hirša indekss</w:t>
      </w:r>
      <w:r>
        <w:t xml:space="preserve">). </w:t>
      </w:r>
    </w:p>
    <w:p w:rsidR="002C3FB4" w:rsidP="008F3C8B" w14:paraId="55E12369" w14:textId="77777777">
      <w:pPr>
        <w:spacing w:after="0"/>
        <w:rPr>
          <w:szCs w:val="24"/>
        </w:rPr>
      </w:pPr>
    </w:p>
    <w:tbl>
      <w:tblPr>
        <w:tblStyle w:val="TableGrid"/>
        <w:tblW w:w="0" w:type="auto"/>
        <w:tblBorders>
          <w:top w:val="single" w:sz="4" w:space="0" w:color="634545" w:themeColor="accent6" w:themeShade="BF"/>
          <w:left w:val="single" w:sz="4" w:space="0" w:color="634545" w:themeColor="accent6" w:themeShade="BF"/>
          <w:bottom w:val="single" w:sz="4" w:space="0" w:color="634545" w:themeColor="accent6" w:themeShade="BF"/>
          <w:right w:val="single" w:sz="4" w:space="0" w:color="634545" w:themeColor="accent6" w:themeShade="BF"/>
          <w:insideH w:val="single" w:sz="4" w:space="0" w:color="634545" w:themeColor="accent6" w:themeShade="BF"/>
          <w:insideV w:val="single" w:sz="4" w:space="0" w:color="634545" w:themeColor="accent6" w:themeShade="BF"/>
        </w:tblBorders>
        <w:shd w:val="clear" w:color="auto" w:fill="E9E6E6" w:themeFill="accent5" w:themeFillTint="33"/>
        <w:tblLook w:val="04A0"/>
      </w:tblPr>
      <w:tblGrid>
        <w:gridCol w:w="9061"/>
      </w:tblGrid>
      <w:tr w14:paraId="789DFF8E" w14:textId="77777777" w:rsidTr="008F1F90">
        <w:tblPrEx>
          <w:tblW w:w="0" w:type="auto"/>
          <w:tblBorders>
            <w:top w:val="single" w:sz="4" w:space="0" w:color="634545" w:themeColor="accent6" w:themeShade="BF"/>
            <w:left w:val="single" w:sz="4" w:space="0" w:color="634545" w:themeColor="accent6" w:themeShade="BF"/>
            <w:bottom w:val="single" w:sz="4" w:space="0" w:color="634545" w:themeColor="accent6" w:themeShade="BF"/>
            <w:right w:val="single" w:sz="4" w:space="0" w:color="634545" w:themeColor="accent6" w:themeShade="BF"/>
            <w:insideH w:val="single" w:sz="4" w:space="0" w:color="634545" w:themeColor="accent6" w:themeShade="BF"/>
            <w:insideV w:val="single" w:sz="4" w:space="0" w:color="634545" w:themeColor="accent6" w:themeShade="BF"/>
          </w:tblBorders>
          <w:shd w:val="clear" w:color="auto" w:fill="E9E6E6" w:themeFill="accent5" w:themeFillTint="33"/>
          <w:tblLook w:val="04A0"/>
        </w:tblPrEx>
        <w:trPr>
          <w:trHeight w:val="1274"/>
        </w:trPr>
        <w:tc>
          <w:tcPr>
            <w:tcW w:w="9061" w:type="dxa"/>
            <w:shd w:val="clear" w:color="auto" w:fill="E9E6E6" w:themeFill="accent5" w:themeFillTint="33"/>
          </w:tcPr>
          <w:p w:rsidR="008F1F90" w:rsidRPr="008F1F90" w:rsidP="00207B3D" w14:paraId="391869C2" w14:textId="616DBE10">
            <w:pPr>
              <w:spacing w:after="0"/>
              <w:rPr>
                <w:szCs w:val="24"/>
              </w:rPr>
            </w:pPr>
            <w:r w:rsidRPr="008F1F90">
              <w:rPr>
                <w:szCs w:val="24"/>
              </w:rPr>
              <w:t xml:space="preserve">2017.gada maijā noslēdzās </w:t>
            </w:r>
            <w:r w:rsidRPr="005C1071" w:rsidR="006833FD">
              <w:rPr>
                <w:rStyle w:val="BulletsFChar"/>
              </w:rPr>
              <w:t xml:space="preserve">Pēcdoktorantūras pētniecības </w:t>
            </w:r>
            <w:r w:rsidR="006833FD">
              <w:rPr>
                <w:rStyle w:val="BulletsFChar"/>
              </w:rPr>
              <w:t>programmas</w:t>
            </w:r>
            <w:r w:rsidRPr="00F77DD2" w:rsidR="006833FD">
              <w:rPr>
                <w:rStyle w:val="BulletsFChar"/>
              </w:rPr>
              <w:t xml:space="preserve"> </w:t>
            </w:r>
            <w:r w:rsidRPr="008F1F90">
              <w:rPr>
                <w:szCs w:val="24"/>
              </w:rPr>
              <w:t xml:space="preserve">pirmā </w:t>
            </w:r>
            <w:r w:rsidR="00F00596">
              <w:rPr>
                <w:szCs w:val="24"/>
              </w:rPr>
              <w:t>pētniecības pieteikumu</w:t>
            </w:r>
            <w:r w:rsidRPr="008F1F90">
              <w:rPr>
                <w:szCs w:val="24"/>
              </w:rPr>
              <w:t xml:space="preserve"> atlases kārta un pieņemti lēmumi par </w:t>
            </w:r>
            <w:r w:rsidRPr="00207B3D">
              <w:rPr>
                <w:szCs w:val="24"/>
              </w:rPr>
              <w:t>14</w:t>
            </w:r>
            <w:r w:rsidRPr="00207B3D" w:rsidR="00543E92">
              <w:rPr>
                <w:szCs w:val="24"/>
              </w:rPr>
              <w:t>1</w:t>
            </w:r>
            <w:r w:rsidRPr="008F1F90">
              <w:rPr>
                <w:szCs w:val="24"/>
              </w:rPr>
              <w:t xml:space="preserve"> pētniecības projektu </w:t>
            </w:r>
            <w:r>
              <w:rPr>
                <w:szCs w:val="24"/>
              </w:rPr>
              <w:t>virzīšanu</w:t>
            </w:r>
            <w:r w:rsidRPr="008F1F90">
              <w:rPr>
                <w:szCs w:val="24"/>
              </w:rPr>
              <w:t xml:space="preserve"> īstenošanai</w:t>
            </w:r>
            <w:r>
              <w:rPr>
                <w:szCs w:val="24"/>
                <w:vertAlign w:val="superscript"/>
              </w:rPr>
              <w:footnoteReference w:id="7"/>
            </w:r>
            <w:r w:rsidR="00C804C8">
              <w:t>.</w:t>
            </w:r>
            <w:r w:rsidRPr="008F1F90">
              <w:t xml:space="preserve"> </w:t>
            </w:r>
            <w:r w:rsidRPr="00207B3D" w:rsidR="00207B3D">
              <w:rPr>
                <w:b/>
              </w:rPr>
              <w:t xml:space="preserve">Līdz 2017. gada 31. decembrim noslēgti līgumi par 124 projektu īstenošanu, kuru </w:t>
            </w:r>
            <w:r w:rsidRPr="00207B3D">
              <w:rPr>
                <w:b/>
              </w:rPr>
              <w:t xml:space="preserve">kopējais </w:t>
            </w:r>
            <w:r w:rsidRPr="00207B3D" w:rsidR="00543E92">
              <w:rPr>
                <w:b/>
              </w:rPr>
              <w:t xml:space="preserve">attiecināmais finansējums </w:t>
            </w:r>
            <w:r w:rsidRPr="00207B3D" w:rsidR="009F514D">
              <w:rPr>
                <w:b/>
              </w:rPr>
              <w:t>1</w:t>
            </w:r>
            <w:r w:rsidRPr="00207B3D" w:rsidR="00207B3D">
              <w:rPr>
                <w:b/>
              </w:rPr>
              <w:t>6</w:t>
            </w:r>
            <w:r w:rsidRPr="00207B3D" w:rsidR="009F514D">
              <w:rPr>
                <w:b/>
              </w:rPr>
              <w:t>,</w:t>
            </w:r>
            <w:r w:rsidRPr="00207B3D" w:rsidR="00207B3D">
              <w:rPr>
                <w:b/>
              </w:rPr>
              <w:t>50</w:t>
            </w:r>
            <w:r w:rsidRPr="00207B3D" w:rsidR="00543E92">
              <w:rPr>
                <w:b/>
              </w:rPr>
              <w:t xml:space="preserve"> MEUR</w:t>
            </w:r>
            <w:r w:rsidRPr="009D2AC9">
              <w:t>.</w:t>
            </w:r>
            <w:r w:rsidRPr="00220479">
              <w:rPr>
                <w:b/>
                <w:szCs w:val="24"/>
              </w:rPr>
              <w:t xml:space="preserve"> </w:t>
            </w:r>
          </w:p>
        </w:tc>
      </w:tr>
    </w:tbl>
    <w:p w:rsidR="006E6A71" w:rsidP="0028225B" w14:paraId="6061E0BF" w14:textId="77777777">
      <w:pPr>
        <w:rPr>
          <w:szCs w:val="24"/>
        </w:rPr>
      </w:pPr>
    </w:p>
    <w:p w:rsidR="00664449" w:rsidP="0028225B" w14:paraId="25F7EA76" w14:textId="77777777">
      <w:pPr>
        <w:rPr>
          <w:szCs w:val="24"/>
        </w:rPr>
      </w:pPr>
      <w:r w:rsidRPr="005C1071">
        <w:rPr>
          <w:rStyle w:val="BulletsFChar"/>
        </w:rPr>
        <w:t xml:space="preserve">Pēcdoktorantūras pētniecības </w:t>
      </w:r>
      <w:r>
        <w:rPr>
          <w:rStyle w:val="BulletsFChar"/>
        </w:rPr>
        <w:t>programmas</w:t>
      </w:r>
      <w:r w:rsidRPr="00F77DD2">
        <w:rPr>
          <w:rStyle w:val="BulletsFChar"/>
        </w:rPr>
        <w:t xml:space="preserve"> </w:t>
      </w:r>
      <w:r w:rsidRPr="008F1F90">
        <w:rPr>
          <w:szCs w:val="24"/>
        </w:rPr>
        <w:t>pirm</w:t>
      </w:r>
      <w:r>
        <w:rPr>
          <w:szCs w:val="24"/>
        </w:rPr>
        <w:t>aj</w:t>
      </w:r>
      <w:r w:rsidRPr="008F1F90">
        <w:rPr>
          <w:szCs w:val="24"/>
        </w:rPr>
        <w:t xml:space="preserve">ā </w:t>
      </w:r>
      <w:r>
        <w:rPr>
          <w:szCs w:val="24"/>
        </w:rPr>
        <w:t>pētniecības pieteikumu</w:t>
      </w:r>
      <w:r w:rsidRPr="008F1F90">
        <w:rPr>
          <w:szCs w:val="24"/>
        </w:rPr>
        <w:t xml:space="preserve"> atlases kārt</w:t>
      </w:r>
      <w:r>
        <w:rPr>
          <w:szCs w:val="24"/>
        </w:rPr>
        <w:t>ā:</w:t>
      </w:r>
    </w:p>
    <w:p w:rsidR="001030AF" w:rsidP="00124CD6" w14:paraId="32EA7A00" w14:textId="77777777">
      <w:pPr>
        <w:pStyle w:val="BulletF"/>
      </w:pPr>
      <w:r>
        <w:rPr>
          <w:shd w:val="clear" w:color="auto" w:fill="FFFFFF"/>
        </w:rPr>
        <w:t xml:space="preserve">saņemti 246 pētniecības pieteikumi, </w:t>
      </w:r>
      <w:r w:rsidR="00A26E0A">
        <w:rPr>
          <w:shd w:val="clear" w:color="auto" w:fill="FFFFFF"/>
        </w:rPr>
        <w:t>kuru ietvaros plānots īstenot</w:t>
      </w:r>
      <w:r>
        <w:rPr>
          <w:shd w:val="clear" w:color="auto" w:fill="FFFFFF"/>
        </w:rPr>
        <w:t xml:space="preserve"> 62 fundamentāl</w:t>
      </w:r>
      <w:r w:rsidR="00A26E0A">
        <w:rPr>
          <w:shd w:val="clear" w:color="auto" w:fill="FFFFFF"/>
        </w:rPr>
        <w:t>os pētījumus</w:t>
      </w:r>
      <w:r>
        <w:rPr>
          <w:shd w:val="clear" w:color="auto" w:fill="FFFFFF"/>
        </w:rPr>
        <w:t> un 184 rūpniecisk</w:t>
      </w:r>
      <w:r w:rsidR="00A26E0A">
        <w:rPr>
          <w:shd w:val="clear" w:color="auto" w:fill="FFFFFF"/>
        </w:rPr>
        <w:t>os</w:t>
      </w:r>
      <w:r>
        <w:rPr>
          <w:shd w:val="clear" w:color="auto" w:fill="FFFFFF"/>
        </w:rPr>
        <w:t xml:space="preserve"> pētījum</w:t>
      </w:r>
      <w:r w:rsidR="00A26E0A">
        <w:rPr>
          <w:shd w:val="clear" w:color="auto" w:fill="FFFFFF"/>
        </w:rPr>
        <w:t>us</w:t>
      </w:r>
      <w:r>
        <w:rPr>
          <w:shd w:val="clear" w:color="auto" w:fill="FFFFFF"/>
        </w:rPr>
        <w:t xml:space="preserve">. </w:t>
      </w:r>
      <w:r>
        <w:t>Kopējā pieprasītā finansējuma summa pieteikumos ir</w:t>
      </w:r>
      <w:r w:rsidR="008F6A0C">
        <w:t xml:space="preserve"> </w:t>
      </w:r>
      <w:r>
        <w:rPr>
          <w:bCs/>
        </w:rPr>
        <w:t>32</w:t>
      </w:r>
      <w:r w:rsidR="008F6A0C">
        <w:rPr>
          <w:bCs/>
        </w:rPr>
        <w:t> </w:t>
      </w:r>
      <w:r>
        <w:rPr>
          <w:bCs/>
        </w:rPr>
        <w:t>689</w:t>
      </w:r>
      <w:r w:rsidR="008F6A0C">
        <w:rPr>
          <w:bCs/>
        </w:rPr>
        <w:t> </w:t>
      </w:r>
      <w:r>
        <w:rPr>
          <w:bCs/>
        </w:rPr>
        <w:t>246,17 EUR</w:t>
      </w:r>
      <w:r>
        <w:t>, tostarp pieteiktais ERAF līdzfinansējums – 27</w:t>
      </w:r>
      <w:r w:rsidR="00A26E0A">
        <w:t> </w:t>
      </w:r>
      <w:r>
        <w:t>689</w:t>
      </w:r>
      <w:r w:rsidR="00A26E0A">
        <w:t> </w:t>
      </w:r>
      <w:r>
        <w:t>424,04 EUR, privātais finansējums – 566</w:t>
      </w:r>
      <w:r w:rsidR="00A26E0A">
        <w:t> </w:t>
      </w:r>
      <w:r>
        <w:t>998,05 EUR (tai skaitā 292 612,80 EUR komersantu pieteikto pētniecības pieteikumu līdzfinansējums), cits publiskais finansējums 4</w:t>
      </w:r>
      <w:r w:rsidR="00A26E0A">
        <w:t> </w:t>
      </w:r>
      <w:r>
        <w:t>432</w:t>
      </w:r>
      <w:r w:rsidR="00A26E0A">
        <w:t> </w:t>
      </w:r>
      <w:r>
        <w:t>824,08 EUR (Valsts budžets un zinātnisko institūciju publiskais līdzfinansējums)</w:t>
      </w:r>
      <w:r>
        <w:t>;</w:t>
      </w:r>
    </w:p>
    <w:p w:rsidR="001030AF" w:rsidP="00124CD6" w14:paraId="68571043" w14:textId="77777777">
      <w:pPr>
        <w:pStyle w:val="BulletF"/>
      </w:pPr>
      <w:r>
        <w:t xml:space="preserve">pētniecības iesniegumus iesniedza 28 zinātniskās institūcijas un </w:t>
      </w:r>
      <w:r w:rsidR="009F514D">
        <w:t xml:space="preserve">4 </w:t>
      </w:r>
      <w:r>
        <w:t>komersanti</w:t>
      </w:r>
      <w:r w:rsidR="002E0DBC">
        <w:t xml:space="preserve"> (12,5% no kopējā iesniedzēju skaita)</w:t>
      </w:r>
      <w:r>
        <w:t>;</w:t>
      </w:r>
    </w:p>
    <w:p w:rsidR="001030AF" w:rsidP="00124CD6" w14:paraId="6F17D85E" w14:textId="77777777">
      <w:pPr>
        <w:pStyle w:val="BulletF"/>
      </w:pPr>
      <w:r>
        <w:t>57,3%</w:t>
      </w:r>
      <w:r w:rsidR="00E5573A">
        <w:t xml:space="preserve"> no iesniegtajiem pētniecības pieteikumiem</w:t>
      </w:r>
      <w:r>
        <w:t xml:space="preserve"> zinātniskās kvalitātes vērtējumā ir ieguvis pietiekamu vērtējumu. Visaugstākie sekmības rādītāji ir šādām institūcijām, kas </w:t>
      </w:r>
      <w:r w:rsidR="009F514D">
        <w:t xml:space="preserve">iesniegušas </w:t>
      </w:r>
      <w:r>
        <w:t xml:space="preserve">vismaz četrus pētniecības pieteikumus: LU MII (100% sekmība), OSI (90,9% sekmība), LVMI </w:t>
      </w:r>
      <w:r w:rsidR="00A26E0A">
        <w:t>“</w:t>
      </w:r>
      <w:r>
        <w:t>Silava</w:t>
      </w:r>
      <w:r w:rsidR="00A26E0A">
        <w:t>”</w:t>
      </w:r>
      <w:r>
        <w:t xml:space="preserve"> (83,3% sekmība), KĶI (80% sekmība), LU LMFI un TSI (75% sekmība), BMC un RTU (66,6% sekmība); </w:t>
      </w:r>
    </w:p>
    <w:p w:rsidR="001030AF" w:rsidP="00124CD6" w14:paraId="00D47BEC" w14:textId="77777777">
      <w:pPr>
        <w:pStyle w:val="BulletF"/>
      </w:pPr>
      <w:r>
        <w:t xml:space="preserve">astoņi </w:t>
      </w:r>
      <w:r w:rsidR="00311C51">
        <w:t xml:space="preserve">(3,2%) </w:t>
      </w:r>
      <w:r>
        <w:t>pētniecības pieteikumi noraid</w:t>
      </w:r>
      <w:r w:rsidR="00ED5257">
        <w:t>īti</w:t>
      </w:r>
      <w:r>
        <w:t xml:space="preserve"> atbilstoši administratīvās un atbilstības vērtēšanas kritērijiem;</w:t>
      </w:r>
    </w:p>
    <w:p w:rsidR="00923B54" w:rsidP="00124CD6" w14:paraId="72A2C441" w14:textId="77777777">
      <w:pPr>
        <w:pStyle w:val="BulletF"/>
      </w:pPr>
      <w:r>
        <w:t>n</w:t>
      </w:r>
      <w:r w:rsidRPr="007C3095">
        <w:t xml:space="preserve">o </w:t>
      </w:r>
      <w:r>
        <w:t>astoņiem</w:t>
      </w:r>
      <w:r w:rsidRPr="007C3095">
        <w:t xml:space="preserve"> pētniecības pieteikumu iesniedzējiem </w:t>
      </w:r>
      <w:r>
        <w:t>i</w:t>
      </w:r>
      <w:r w:rsidRPr="007C3095">
        <w:t>r saņemti atteikumi slēgt līgumus</w:t>
      </w:r>
      <w:r>
        <w:t xml:space="preserve"> šādu iemeslu dēļ:</w:t>
      </w:r>
      <w:r w:rsidRPr="007C3095">
        <w:t xml:space="preserve"> </w:t>
      </w:r>
      <w:r>
        <w:t>pirmsdzemdību atvaļinājums (divi gadījumi</w:t>
      </w:r>
      <w:r w:rsidRPr="007C3095">
        <w:t>),</w:t>
      </w:r>
      <w:r>
        <w:t xml:space="preserve"> dalība citā projektā vai cits </w:t>
      </w:r>
      <w:r w:rsidRPr="007C3095">
        <w:t>darba piedāvājums (</w:t>
      </w:r>
      <w:r>
        <w:t>pieci gadījumi</w:t>
      </w:r>
      <w:r w:rsidRPr="007C3095">
        <w:t>),</w:t>
      </w:r>
      <w:r>
        <w:t xml:space="preserve"> s</w:t>
      </w:r>
      <w:r w:rsidRPr="007C3095">
        <w:t>aņemts ES M.Sklodovskas-Kirī grants (</w:t>
      </w:r>
      <w:r>
        <w:t>viens gadījums</w:t>
      </w:r>
      <w:r w:rsidRPr="007C3095">
        <w:t>)</w:t>
      </w:r>
      <w:r>
        <w:t>;</w:t>
      </w:r>
    </w:p>
    <w:p w:rsidR="00923B54" w:rsidP="00124CD6" w14:paraId="694FE24E" w14:textId="77777777">
      <w:pPr>
        <w:pStyle w:val="BulletF"/>
      </w:pPr>
      <w:r>
        <w:t>i</w:t>
      </w:r>
      <w:r>
        <w:t xml:space="preserve">esniegti 10 </w:t>
      </w:r>
      <w:r w:rsidR="00311C51">
        <w:t xml:space="preserve">(4%) </w:t>
      </w:r>
      <w:r>
        <w:t xml:space="preserve">ar saimniecisku darbību saistīti pētniecības pieteikumi. Komersanti </w:t>
      </w:r>
      <w:r w:rsidR="00E0173D">
        <w:t>pasākuma īstenošanā neiesaistās šādu apsvērumu dēļ</w:t>
      </w:r>
      <w:r>
        <w:t>:</w:t>
      </w:r>
    </w:p>
    <w:p w:rsidR="00923B54" w:rsidP="00923B54" w14:paraId="38A9B6E8" w14:textId="77777777">
      <w:pPr>
        <w:pStyle w:val="BulletA"/>
      </w:pPr>
      <w:r>
        <w:t>salīdzinoši liels birokrātiskais un administratīvais slogs gan atlasē, gan īstenošanā pret nelielo finansējumu;</w:t>
      </w:r>
    </w:p>
    <w:p w:rsidR="00923B54" w:rsidP="00923B54" w14:paraId="61DAC3B0" w14:textId="77777777">
      <w:pPr>
        <w:pStyle w:val="BulletA"/>
      </w:pPr>
      <w:r>
        <w:t>plānotā dalība</w:t>
      </w:r>
      <w:r>
        <w:t xml:space="preserve"> </w:t>
      </w:r>
      <w:r w:rsidR="006833FD">
        <w:rPr>
          <w:rStyle w:val="BulletsFChar"/>
        </w:rPr>
        <w:t xml:space="preserve">Praktiskās </w:t>
      </w:r>
      <w:r w:rsidRPr="005C1071" w:rsidR="006833FD">
        <w:rPr>
          <w:rStyle w:val="BulletsFChar"/>
        </w:rPr>
        <w:t xml:space="preserve">pētniecības </w:t>
      </w:r>
      <w:r w:rsidR="006833FD">
        <w:rPr>
          <w:rStyle w:val="BulletsFChar"/>
        </w:rPr>
        <w:t>programmas</w:t>
      </w:r>
      <w:r w:rsidRPr="00F77DD2" w:rsidR="006833FD">
        <w:rPr>
          <w:rStyle w:val="BulletsFChar"/>
        </w:rPr>
        <w:t xml:space="preserve"> </w:t>
      </w:r>
      <w:r>
        <w:t>ietvaros rīkot</w:t>
      </w:r>
      <w:r>
        <w:t>ajā</w:t>
      </w:r>
      <w:r>
        <w:t xml:space="preserve"> </w:t>
      </w:r>
      <w:r>
        <w:t>atlasē</w:t>
      </w:r>
      <w:r>
        <w:t>;</w:t>
      </w:r>
    </w:p>
    <w:p w:rsidR="00923B54" w:rsidP="00923B54" w14:paraId="209215E0" w14:textId="77777777">
      <w:pPr>
        <w:pStyle w:val="BulletA"/>
      </w:pPr>
      <w:r>
        <w:t xml:space="preserve">ierobežotie finanšu un cilvēkresursi. </w:t>
      </w:r>
    </w:p>
    <w:p w:rsidR="00664449" w:rsidP="00664449" w14:paraId="1F5DEB2C" w14:textId="77777777">
      <w:r w:rsidRPr="003E37CD">
        <w:t xml:space="preserve">Viena no atbalstāmajām darbībām </w:t>
      </w:r>
      <w:r w:rsidRPr="005C1071" w:rsidR="006833FD">
        <w:rPr>
          <w:rStyle w:val="BulletsFChar"/>
        </w:rPr>
        <w:t xml:space="preserve">Pēcdoktorantūras pētniecības </w:t>
      </w:r>
      <w:r w:rsidR="006833FD">
        <w:rPr>
          <w:rStyle w:val="BulletsFChar"/>
        </w:rPr>
        <w:t>programmas</w:t>
      </w:r>
      <w:r w:rsidRPr="00F77DD2" w:rsidR="006833FD">
        <w:rPr>
          <w:rStyle w:val="BulletsFChar"/>
        </w:rPr>
        <w:t xml:space="preserve"> </w:t>
      </w:r>
      <w:r>
        <w:t>ietvaros -</w:t>
      </w:r>
      <w:r w:rsidRPr="003E37CD">
        <w:t xml:space="preserve"> starptautiskās mobilitātes un tīklošanās pasākumu īstenošana. </w:t>
      </w:r>
      <w:r>
        <w:t xml:space="preserve">Apstiprināto pētniecības pieteikumu ietvaros </w:t>
      </w:r>
      <w:r w:rsidRPr="003E37CD">
        <w:t>pēcdoktoranti plāno doties</w:t>
      </w:r>
      <w:r>
        <w:t xml:space="preserve"> uz </w:t>
      </w:r>
      <w:r w:rsidRPr="003E37CD">
        <w:t>45 valstīm</w:t>
      </w:r>
      <w:r>
        <w:t xml:space="preserve">, tai skaitā </w:t>
      </w:r>
      <w:r w:rsidRPr="003E37CD">
        <w:t>Igaunij</w:t>
      </w:r>
      <w:r>
        <w:t>a</w:t>
      </w:r>
      <w:r w:rsidRPr="003E37CD">
        <w:t xml:space="preserve"> (24 pēcdoktoranti), Lietuv</w:t>
      </w:r>
      <w:r>
        <w:t>a</w:t>
      </w:r>
      <w:r w:rsidRPr="003E37CD">
        <w:t xml:space="preserve"> (23 pēcdoktoranti), Vācij</w:t>
      </w:r>
      <w:r>
        <w:t>a</w:t>
      </w:r>
      <w:r w:rsidRPr="003E37CD">
        <w:t xml:space="preserve"> (22 pēcdoktoranti), Lielbritānij</w:t>
      </w:r>
      <w:r>
        <w:t>a</w:t>
      </w:r>
      <w:r w:rsidRPr="003E37CD">
        <w:t xml:space="preserve"> (15 pēcdoktoranti), Zviedrij</w:t>
      </w:r>
      <w:r>
        <w:t>a</w:t>
      </w:r>
      <w:r w:rsidRPr="003E37CD">
        <w:t xml:space="preserve"> (14 pēcdoktoranti), ASV un Somij</w:t>
      </w:r>
      <w:r>
        <w:t>a</w:t>
      </w:r>
      <w:r w:rsidRPr="003E37CD">
        <w:t xml:space="preserve"> (katrā valstī 12 pēcdoktoranti)</w:t>
      </w:r>
      <w:r>
        <w:t xml:space="preserve"> (</w:t>
      </w:r>
      <w:r>
        <w:fldChar w:fldCharType="begin"/>
      </w:r>
      <w:r>
        <w:instrText xml:space="preserve"> REF _Ref490654883 \h </w:instrText>
      </w:r>
      <w:r>
        <w:fldChar w:fldCharType="separate"/>
      </w:r>
      <w:r>
        <w:t>6</w:t>
      </w:r>
      <w:r w:rsidRPr="00257AB1">
        <w:t xml:space="preserve">. </w:t>
      </w:r>
      <w:r>
        <w:fldChar w:fldCharType="end"/>
      </w:r>
      <w:r w:rsidR="008F6A0C">
        <w:t>attēls</w:t>
      </w:r>
      <w:r>
        <w:t>)</w:t>
      </w:r>
      <w:r w:rsidRPr="003E37CD">
        <w:t>.</w:t>
      </w:r>
    </w:p>
    <w:p w:rsidR="00664449" w:rsidP="00664449" w14:paraId="7113C4AF" w14:textId="77777777">
      <w:pPr>
        <w:pStyle w:val="NormalWeb"/>
        <w:spacing w:before="0" w:after="0"/>
        <w:jc w:val="center"/>
      </w:pPr>
      <w:r>
        <w:rPr>
          <w:noProof/>
          <w:color w:val="FF0000"/>
        </w:rPr>
        <w:drawing>
          <wp:inline distT="0" distB="0" distL="0" distR="0">
            <wp:extent cx="4499956" cy="1762298"/>
            <wp:effectExtent l="0" t="0" r="1524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4449" w:rsidRPr="00257AB1" w:rsidP="00664449" w14:paraId="1E6D5547" w14:textId="77777777">
      <w:pPr>
        <w:pStyle w:val="Caption"/>
      </w:pPr>
      <w:bookmarkStart w:id="73" w:name="_Ref490654883"/>
      <w:r>
        <w:fldChar w:fldCharType="begin"/>
      </w:r>
      <w:r>
        <w:instrText xml:space="preserve"> SEQ attēls \* ARABIC </w:instrText>
      </w:r>
      <w:r>
        <w:fldChar w:fldCharType="separate"/>
      </w:r>
      <w:r>
        <w:t>6</w:t>
      </w:r>
      <w:r>
        <w:fldChar w:fldCharType="end"/>
      </w:r>
      <w:r w:rsidRPr="00257AB1">
        <w:t xml:space="preserve">. </w:t>
      </w:r>
      <w:bookmarkEnd w:id="73"/>
      <w:r>
        <w:t>attēls</w:t>
      </w:r>
      <w:r w:rsidRPr="00257AB1">
        <w:rPr>
          <w:rStyle w:val="Strong"/>
          <w:b/>
          <w:bCs/>
          <w:sz w:val="20"/>
        </w:rPr>
        <w:t xml:space="preserve">. </w:t>
      </w:r>
      <w:r w:rsidRPr="00242B92">
        <w:rPr>
          <w:rStyle w:val="Strong"/>
          <w:b/>
        </w:rPr>
        <w:t xml:space="preserve">Pēcdoktorantu mobilitātes rādītāji </w:t>
      </w:r>
      <w:r w:rsidRPr="006833FD" w:rsidR="006833FD">
        <w:rPr>
          <w:rStyle w:val="BulletsFChar"/>
        </w:rPr>
        <w:t>Pēcdoktorantūras pētniecības programmas</w:t>
      </w:r>
      <w:r w:rsidRPr="00F77DD2" w:rsidR="006833FD">
        <w:rPr>
          <w:rStyle w:val="BulletsFChar"/>
        </w:rPr>
        <w:t xml:space="preserve"> </w:t>
      </w:r>
      <w:r w:rsidRPr="00242B92">
        <w:rPr>
          <w:rStyle w:val="Strong"/>
          <w:b/>
        </w:rPr>
        <w:t>ietvaros (Avots: VIAA)</w:t>
      </w:r>
    </w:p>
    <w:p w:rsidR="00664449" w:rsidP="00664449" w14:paraId="636D4741" w14:textId="77777777">
      <w:r>
        <w:t xml:space="preserve">Lai gan </w:t>
      </w:r>
      <w:r w:rsidR="006833FD">
        <w:t xml:space="preserve">Pēcdoktorantūras pētniecības programmas </w:t>
      </w:r>
      <w:r>
        <w:t xml:space="preserve"> </w:t>
      </w:r>
      <w:r w:rsidR="00A26E0A">
        <w:t>“</w:t>
      </w:r>
      <w:r>
        <w:t>Pēcdoktorantūras pētniecības atbalsts</w:t>
      </w:r>
      <w:r w:rsidR="00A26E0A">
        <w:t>”</w:t>
      </w:r>
      <w:r>
        <w:t xml:space="preserve"> ietvaros bija iespēja piesaistīt ārvalstu pēcdoktorantus, kuri ir iesnieguši pieteikumu ES pamatprogrammā </w:t>
      </w:r>
      <w:r w:rsidR="00A26E0A">
        <w:t>“</w:t>
      </w:r>
      <w:r>
        <w:t>Apvārsnis 2020</w:t>
      </w:r>
      <w:r w:rsidR="00A26E0A">
        <w:t>”</w:t>
      </w:r>
      <w:r>
        <w:t xml:space="preserve"> Marijas Skoldovskas-Kirī programmā </w:t>
      </w:r>
      <w:r w:rsidR="00A26E0A">
        <w:t>“</w:t>
      </w:r>
      <w:r>
        <w:t>Individuālās stipendijas</w:t>
      </w:r>
      <w:r w:rsidR="00A26E0A">
        <w:t>”</w:t>
      </w:r>
      <w:r>
        <w:t xml:space="preserve"> (MSCA IF) un minētajā projektu iesniegumu vērtēšanā ir novērtēti virs kvalitātes sliekšņa, neviens šāds pētniecības pieteikums pirmajā atlases kārtā netika saņemts. Saskaņā ar EK </w:t>
      </w:r>
      <w:r w:rsidRPr="00346C99">
        <w:rPr>
          <w:i/>
        </w:rPr>
        <w:t>e-Cordis</w:t>
      </w:r>
      <w:r>
        <w:t xml:space="preserve"> datubāzē pieejamo informāciju par dalībvalstu statistiku, Latvijai līdz 2016.</w:t>
      </w:r>
      <w:r w:rsidR="009F514D">
        <w:t xml:space="preserve"> </w:t>
      </w:r>
      <w:r>
        <w:t>gada 30.</w:t>
      </w:r>
      <w:r w:rsidR="009F514D">
        <w:t xml:space="preserve"> </w:t>
      </w:r>
      <w:r>
        <w:t xml:space="preserve">novembrim, kas bija pirmās atlases kārtas pētniecības pieteikumu iesniegšanas termiņš, </w:t>
      </w:r>
      <w:r w:rsidR="00324306">
        <w:t xml:space="preserve">no </w:t>
      </w:r>
      <w:r>
        <w:t xml:space="preserve">MSCA IF </w:t>
      </w:r>
      <w:r w:rsidR="00324306">
        <w:t>iesniegtajiem</w:t>
      </w:r>
      <w:r>
        <w:t xml:space="preserve"> ārvalstu pēcdoktorantu pieteikumi</w:t>
      </w:r>
      <w:r w:rsidR="00324306">
        <w:t>em divi</w:t>
      </w:r>
      <w:r>
        <w:t xml:space="preserve"> tika novērtēti virs sliekšņa, bet netika finansēti. </w:t>
      </w:r>
    </w:p>
    <w:p w:rsidR="002C3FB4" w:rsidP="002C3FB4" w14:paraId="725366DF" w14:textId="77777777">
      <w:r>
        <w:t xml:space="preserve">Vairums pētniecības pieteikumu tika iesniegti VIAA izveidotajā pēcdoktorantūtas pētniecības pieteikumu informācijas sistēmā (turpmāk – </w:t>
      </w:r>
      <w:r w:rsidRPr="0034116C">
        <w:rPr>
          <w:i/>
        </w:rPr>
        <w:t>PostDoc</w:t>
      </w:r>
      <w:r>
        <w:t xml:space="preserve"> IT sistēma), pirms tam noslēdzot līgumu ar aģentūru par pieejas nodrošināšanu paraksttiesīgai personai. 12 pētniecības pieteikumu tika iesniegti elektroniski ar elektronisko parakstu, bet 11 pieteikumi tika iesniegti aģentūrā klātienē. Visi pētniecības pieteikumi tika iesniegti savlaicīgi. Par </w:t>
      </w:r>
      <w:r w:rsidRPr="00920720">
        <w:rPr>
          <w:i/>
        </w:rPr>
        <w:t>PostDoc</w:t>
      </w:r>
      <w:r>
        <w:t xml:space="preserve"> IT sistēmas lietošanu sūdzības netika saņemtas, jo sistēmas lietošanas vadlīnijas tika izstrādātas un savlaicīgi pieejamas VIAA mājaslapā </w:t>
      </w:r>
      <w:r>
        <w:fldChar w:fldCharType="begin"/>
      </w:r>
      <w:r>
        <w:instrText xml:space="preserve"> HYPERLINK "http://viaa.gov.lv/lat/pecdoktoranturas_atbalsts/par_informacijas_sistemu/" </w:instrText>
      </w:r>
      <w:r>
        <w:fldChar w:fldCharType="separate"/>
      </w:r>
      <w:r>
        <w:rPr>
          <w:rStyle w:val="Hyperlink"/>
        </w:rPr>
        <w:t>http://viaa.gov.lv/lat/pecdoktoranturas_atbalsts/par_informacijas_sistemu/</w:t>
      </w:r>
      <w:r>
        <w:fldChar w:fldCharType="end"/>
      </w:r>
      <w:r>
        <w:t xml:space="preserve"> .</w:t>
      </w:r>
    </w:p>
    <w:p w:rsidR="00664449" w:rsidP="00664449" w14:paraId="049E6630" w14:textId="77777777">
      <w:r>
        <w:t>Izvērtējot pirmās atlases kārtas ietvaros saņemtos jautājumus, sniegtos skaidrojumus, kā arī sasniegtos rezultātus, secināms, ka:</w:t>
      </w:r>
    </w:p>
    <w:p w:rsidR="00664449" w:rsidRPr="003D7BC0" w:rsidP="00160F57" w14:paraId="4BC2E593" w14:textId="77777777">
      <w:pPr>
        <w:pStyle w:val="ListParagraph"/>
      </w:pPr>
      <w:r>
        <w:t>1. </w:t>
      </w:r>
      <w:r w:rsidRPr="003D7BC0">
        <w:t xml:space="preserve">daudzi pēcdoktoranti pirmās atlases kārtas ietvaros </w:t>
      </w:r>
      <w:r>
        <w:t xml:space="preserve">guva pirmo pieredzi </w:t>
      </w:r>
      <w:r w:rsidRPr="003D7BC0">
        <w:t>pētniecības pie</w:t>
      </w:r>
      <w:r>
        <w:t>teikumu izstrādē un iesniegšanā. Par pieredzes trūkumu liecina izpratnes trūkums par šādiem jautājumiem: a) pieteikuma ietvaros plānoto darbību</w:t>
      </w:r>
      <w:r w:rsidRPr="003D7BC0">
        <w:t xml:space="preserve"> atbilstīb</w:t>
      </w:r>
      <w:r>
        <w:t>a</w:t>
      </w:r>
      <w:r w:rsidRPr="003D7BC0">
        <w:t xml:space="preserve"> fundamentālo vai rūpniecisko pētījumu kategorijām, </w:t>
      </w:r>
      <w:r>
        <w:t xml:space="preserve">b) </w:t>
      </w:r>
      <w:r w:rsidRPr="003D7BC0">
        <w:t>sadarbības partnera lom</w:t>
      </w:r>
      <w:r>
        <w:t>a</w:t>
      </w:r>
      <w:r w:rsidRPr="003D7BC0">
        <w:t xml:space="preserve"> </w:t>
      </w:r>
      <w:r>
        <w:t xml:space="preserve">pētniecības </w:t>
      </w:r>
      <w:r w:rsidR="00D563A6">
        <w:t>pieteikuma</w:t>
      </w:r>
      <w:r>
        <w:t xml:space="preserve"> īstenošanā, c)</w:t>
      </w:r>
      <w:r w:rsidR="00D563A6">
        <w:t> </w:t>
      </w:r>
      <w:r w:rsidRPr="003D7BC0">
        <w:t xml:space="preserve">Eiropas Savienības pētniecības un inovāciju pamatprogrammas </w:t>
      </w:r>
      <w:r w:rsidR="00A26E0A">
        <w:t>“</w:t>
      </w:r>
      <w:r w:rsidRPr="003D7BC0">
        <w:t>Apvārsnis 2020</w:t>
      </w:r>
      <w:r w:rsidR="00A26E0A">
        <w:t>”</w:t>
      </w:r>
      <w:r w:rsidRPr="003D7BC0">
        <w:t xml:space="preserve"> Marijas Sklodovskas-Kirī programmas </w:t>
      </w:r>
      <w:r w:rsidR="00A26E0A">
        <w:t>“</w:t>
      </w:r>
      <w:r w:rsidRPr="003D7BC0">
        <w:t>Individuālās stipendijas</w:t>
      </w:r>
      <w:r w:rsidR="00A26E0A">
        <w:t>”</w:t>
      </w:r>
      <w:r w:rsidRPr="003D7BC0">
        <w:t xml:space="preserve"> principi</w:t>
      </w:r>
      <w:r>
        <w:t xml:space="preserve">. </w:t>
      </w:r>
      <w:r w:rsidRPr="003D7BC0">
        <w:t>Šāds secinājums izdarīts, balstoties uz pētniecības pieteikumu 4.</w:t>
      </w:r>
      <w:r w:rsidR="00D563A6">
        <w:t xml:space="preserve"> </w:t>
      </w:r>
      <w:r w:rsidRPr="003D7BC0">
        <w:t xml:space="preserve">pielikumā </w:t>
      </w:r>
      <w:r w:rsidR="00A26E0A">
        <w:t>“</w:t>
      </w:r>
      <w:r w:rsidRPr="003D7BC0">
        <w:t>Zinātniskais apraksts</w:t>
      </w:r>
      <w:r w:rsidR="00A26E0A">
        <w:t>”</w:t>
      </w:r>
      <w:r w:rsidRPr="003D7BC0">
        <w:t xml:space="preserve"> norādīto informāciju par darba pakām un sasniedzamajiem rezultātiem, laika grafika plānojumu;</w:t>
      </w:r>
    </w:p>
    <w:p w:rsidR="00664449" w:rsidRPr="003D7BC0" w:rsidP="00160F57" w14:paraId="0EEE23B4" w14:textId="77777777">
      <w:pPr>
        <w:pStyle w:val="ListParagraph"/>
      </w:pPr>
      <w:r>
        <w:t>2. </w:t>
      </w:r>
      <w:r w:rsidRPr="003D7BC0">
        <w:t>atsevišķas zinātniskās institūcijas nav sniegušas pietiekamu konsultatīvo atbalstu pēcdoktorantiem pētniecības pieteikumu un tā pielikumu izstrādē, palīdzot sagatavot informāciju par attiecīgās institūcijas vīziju, mērķiem, pētniecības virzieniem, pieejamo infrastruktūru, kā arī plānoto pieteikumu ieviešanas un uzraudzības sistēmu;</w:t>
      </w:r>
    </w:p>
    <w:p w:rsidR="00664449" w:rsidP="00160F57" w14:paraId="60DC6810" w14:textId="77777777">
      <w:pPr>
        <w:pStyle w:val="ListParagraph"/>
      </w:pPr>
      <w:r>
        <w:t>3. </w:t>
      </w:r>
      <w:r w:rsidRPr="003D7BC0">
        <w:t>sociālo un humanitāro zinātņu jomu pārstāvji ir salīdzinoši aktīvi un ieinteresēti pētniecības pieteikumu izstrādē</w:t>
      </w:r>
      <w:r>
        <w:t>.</w:t>
      </w:r>
      <w:r w:rsidRPr="003D7BC0">
        <w:t xml:space="preserve"> </w:t>
      </w:r>
    </w:p>
    <w:p w:rsidR="0022325A" w:rsidP="00160F57" w14:paraId="10A3060F" w14:textId="77777777">
      <w:pPr>
        <w:pStyle w:val="ListParagraph"/>
      </w:pPr>
      <w:r>
        <w:t>L</w:t>
      </w:r>
      <w:r w:rsidRPr="0022325A">
        <w:t>īgumu</w:t>
      </w:r>
      <w:r>
        <w:t xml:space="preserve"> vai </w:t>
      </w:r>
      <w:r w:rsidRPr="0022325A">
        <w:t>vienošanās par pētniecības pieteikuma īstenošanu (turpmāk – līgums) slēgšan</w:t>
      </w:r>
      <w:r>
        <w:t>as procesā</w:t>
      </w:r>
      <w:r w:rsidRPr="0022325A">
        <w:t xml:space="preserve"> konstatēti riski attiecībā uz iznākuma rādītāja “Jaunu pētnieku skaits atbalstītajās vienībās (pilnas slodzes ekvivalents)” sasniegšanu </w:t>
      </w:r>
      <w:r w:rsidRPr="005C1071" w:rsidR="006833FD">
        <w:rPr>
          <w:rStyle w:val="BulletsFChar"/>
        </w:rPr>
        <w:t xml:space="preserve">Pēcdoktorantūras pētniecības </w:t>
      </w:r>
      <w:r w:rsidR="006833FD">
        <w:rPr>
          <w:rStyle w:val="BulletsFChar"/>
        </w:rPr>
        <w:t>programmas</w:t>
      </w:r>
      <w:r w:rsidRPr="00F77DD2" w:rsidR="006833FD">
        <w:rPr>
          <w:rStyle w:val="BulletsFChar"/>
        </w:rPr>
        <w:t xml:space="preserve"> </w:t>
      </w:r>
      <w:r>
        <w:t>ietvaros</w:t>
      </w:r>
      <w:r w:rsidR="001C4D1B">
        <w:t xml:space="preserve"> kopumā</w:t>
      </w:r>
      <w:r>
        <w:t>.</w:t>
      </w:r>
      <w:r w:rsidRPr="0022325A">
        <w:t xml:space="preserve"> </w:t>
      </w:r>
    </w:p>
    <w:p w:rsidR="00BE7364" w:rsidP="00160F57" w14:paraId="592C2A4B" w14:textId="4F2C3343">
      <w:pPr>
        <w:pStyle w:val="ListParagraph"/>
      </w:pPr>
      <w:r>
        <w:t>K</w:t>
      </w:r>
      <w:r w:rsidRPr="006E288C">
        <w:t xml:space="preserve">avēšanās pētniecības pieteikumu īstenošanas uzsākšanā: (1) tieši skar jaunos zinātniekus, kuri savu aktīvo darbību pētniecības pieteikuma īstenošanā ir plānojuši ar </w:t>
      </w:r>
      <w:r w:rsidR="00DE7981">
        <w:t>2017. gada</w:t>
      </w:r>
      <w:r w:rsidRPr="006E288C">
        <w:t xml:space="preserve"> septembr</w:t>
      </w:r>
      <w:r w:rsidR="00DE7981">
        <w:t xml:space="preserve">i. Minētā </w:t>
      </w:r>
      <w:r>
        <w:t>problēmsituācija</w:t>
      </w:r>
      <w:r w:rsidRPr="006E288C">
        <w:t xml:space="preserve"> </w:t>
      </w:r>
      <w:r>
        <w:t xml:space="preserve">var </w:t>
      </w:r>
      <w:r w:rsidRPr="006E288C">
        <w:t xml:space="preserve">negatīvi ietekmēt pēcdoktorantu lēmumu īstenot projektu; (2) kavē </w:t>
      </w:r>
      <w:r>
        <w:t>MK</w:t>
      </w:r>
      <w:r w:rsidRPr="006E288C">
        <w:t xml:space="preserve"> </w:t>
      </w:r>
      <w:r>
        <w:t>noteikumos Nr. 50</w:t>
      </w:r>
      <w:r w:rsidRPr="006E288C">
        <w:t xml:space="preserve"> un darbības programmā noteikto finanšu un uzraudzības rādītāju izpildi</w:t>
      </w:r>
      <w:r>
        <w:t>, kā arī Eiropas Savienības struktūrfondu investīciju progresu tautsaimniecībā kopumā</w:t>
      </w:r>
      <w:r>
        <w:t>; (3)</w:t>
      </w:r>
      <w:r w:rsidRPr="0022325A">
        <w:t xml:space="preserve"> tieši ietekmē VIAA kā </w:t>
      </w:r>
      <w:r w:rsidRPr="005C1071" w:rsidR="006833FD">
        <w:rPr>
          <w:rStyle w:val="BulletsFChar"/>
        </w:rPr>
        <w:t xml:space="preserve">Pēcdoktorantūras pētniecības </w:t>
      </w:r>
      <w:r w:rsidR="006833FD">
        <w:rPr>
          <w:rStyle w:val="BulletsFChar"/>
        </w:rPr>
        <w:t>programmas</w:t>
      </w:r>
      <w:r w:rsidRPr="00F77DD2" w:rsidR="006833FD">
        <w:rPr>
          <w:rStyle w:val="BulletsFChar"/>
        </w:rPr>
        <w:t xml:space="preserve"> </w:t>
      </w:r>
      <w:r w:rsidRPr="0022325A">
        <w:t xml:space="preserve">finansējuma saņēmēja un projekta īstenotāja uzņemtās saistības.  </w:t>
      </w:r>
    </w:p>
    <w:p w:rsidR="00F4586B" w:rsidRPr="001D1B89" w:rsidP="00486A70" w14:paraId="0E5F5C9C" w14:textId="77777777">
      <w:pPr>
        <w:pStyle w:val="Heading2"/>
      </w:pPr>
      <w:bookmarkStart w:id="74" w:name="_Toc499019518"/>
      <w:bookmarkStart w:id="75" w:name="_Toc505086374"/>
      <w:bookmarkStart w:id="76" w:name="_Toc256000012"/>
      <w:bookmarkStart w:id="77" w:name="_Toc256000039"/>
      <w:r>
        <w:t>2.</w:t>
      </w:r>
      <w:r w:rsidR="004D7B4F">
        <w:t>2</w:t>
      </w:r>
      <w:r w:rsidRPr="001D1B89" w:rsidR="00CB311D">
        <w:t>. </w:t>
      </w:r>
      <w:r w:rsidRPr="001D1B89">
        <w:t>Finanšu progres</w:t>
      </w:r>
      <w:r w:rsidRPr="001D1B89" w:rsidR="0007181A">
        <w:t>s</w:t>
      </w:r>
      <w:bookmarkEnd w:id="77"/>
      <w:bookmarkEnd w:id="76"/>
      <w:bookmarkEnd w:id="74"/>
      <w:bookmarkEnd w:id="75"/>
      <w:r w:rsidRPr="001D1B89">
        <w:t xml:space="preserve"> </w:t>
      </w:r>
    </w:p>
    <w:p w:rsidR="009E35D8" w:rsidP="009E35D8" w14:paraId="7B708C95" w14:textId="77777777">
      <w:pPr>
        <w:rPr>
          <w:rStyle w:val="BulletsFChar"/>
          <w:lang w:eastAsia="zh-CN" w:bidi="lo-LA"/>
        </w:rPr>
      </w:pPr>
      <w:r>
        <w:rPr>
          <w:rStyle w:val="BulletsFChar"/>
          <w:lang w:eastAsia="zh-CN" w:bidi="lo-LA"/>
        </w:rPr>
        <w:t xml:space="preserve">Saskaņā ar MK noteikumu Nr. 34 7.2. apakšpunktā noteikto finanšu rādītāju </w:t>
      </w:r>
      <w:r w:rsidR="006833FD">
        <w:rPr>
          <w:rStyle w:val="BulletsFChar"/>
          <w:lang w:eastAsia="zh-CN" w:bidi="lo-LA"/>
        </w:rPr>
        <w:t>Praktisko pētījumu programmas</w:t>
      </w:r>
      <w:r w:rsidR="007E7B0A">
        <w:rPr>
          <w:rStyle w:val="BulletsFChar"/>
          <w:lang w:eastAsia="zh-CN" w:bidi="lo-LA"/>
        </w:rPr>
        <w:t xml:space="preserve"> ietvaros </w:t>
      </w:r>
      <w:r>
        <w:rPr>
          <w:rStyle w:val="BulletsFChar"/>
          <w:lang w:eastAsia="zh-CN" w:bidi="lo-LA"/>
        </w:rPr>
        <w:t>līdz 2018.</w:t>
      </w:r>
      <w:r w:rsidR="00D563A6">
        <w:rPr>
          <w:rStyle w:val="BulletsFChar"/>
          <w:lang w:eastAsia="zh-CN" w:bidi="lo-LA"/>
        </w:rPr>
        <w:t xml:space="preserve"> </w:t>
      </w:r>
      <w:r>
        <w:rPr>
          <w:rStyle w:val="BulletsFChar"/>
          <w:lang w:eastAsia="zh-CN" w:bidi="lo-LA"/>
        </w:rPr>
        <w:t>gada 31.</w:t>
      </w:r>
      <w:r w:rsidR="00D563A6">
        <w:rPr>
          <w:rStyle w:val="BulletsFChar"/>
          <w:lang w:eastAsia="zh-CN" w:bidi="lo-LA"/>
        </w:rPr>
        <w:t xml:space="preserve"> </w:t>
      </w:r>
      <w:r>
        <w:rPr>
          <w:rStyle w:val="BulletsFChar"/>
          <w:lang w:eastAsia="zh-CN" w:bidi="lo-LA"/>
        </w:rPr>
        <w:t>decembrim sertificē</w:t>
      </w:r>
      <w:r w:rsidR="00AA30EE">
        <w:rPr>
          <w:rStyle w:val="BulletsFChar"/>
          <w:lang w:eastAsia="zh-CN" w:bidi="lo-LA"/>
        </w:rPr>
        <w:t>jami</w:t>
      </w:r>
      <w:r>
        <w:rPr>
          <w:rStyle w:val="BulletsFChar"/>
          <w:lang w:eastAsia="zh-CN" w:bidi="lo-LA"/>
        </w:rPr>
        <w:t xml:space="preserve"> izdevumi 11</w:t>
      </w:r>
      <w:r w:rsidR="007E7B0A">
        <w:rPr>
          <w:rStyle w:val="BulletsFChar"/>
          <w:lang w:eastAsia="zh-CN" w:bidi="lo-LA"/>
        </w:rPr>
        <w:t> </w:t>
      </w:r>
      <w:r>
        <w:rPr>
          <w:rStyle w:val="BulletsFChar"/>
          <w:lang w:eastAsia="zh-CN" w:bidi="lo-LA"/>
        </w:rPr>
        <w:t>617</w:t>
      </w:r>
      <w:r w:rsidR="007E7B0A">
        <w:rPr>
          <w:rStyle w:val="BulletsFChar"/>
          <w:lang w:eastAsia="zh-CN" w:bidi="lo-LA"/>
        </w:rPr>
        <w:t> </w:t>
      </w:r>
      <w:r>
        <w:rPr>
          <w:rStyle w:val="BulletsFChar"/>
          <w:lang w:eastAsia="zh-CN" w:bidi="lo-LA"/>
        </w:rPr>
        <w:t xml:space="preserve">160 </w:t>
      </w:r>
      <w:r w:rsidRPr="006362AF" w:rsidR="006362AF">
        <w:rPr>
          <w:rStyle w:val="BulletsFChar"/>
          <w:i/>
          <w:lang w:eastAsia="zh-CN" w:bidi="lo-LA"/>
        </w:rPr>
        <w:t>euro</w:t>
      </w:r>
      <w:r w:rsidR="00AA30EE">
        <w:rPr>
          <w:rStyle w:val="BulletsFChar"/>
          <w:i/>
          <w:lang w:eastAsia="zh-CN" w:bidi="lo-LA"/>
        </w:rPr>
        <w:t xml:space="preserve"> </w:t>
      </w:r>
      <w:r w:rsidRPr="00AA30EE" w:rsidR="00AA30EE">
        <w:rPr>
          <w:rStyle w:val="BulletsFChar"/>
          <w:lang w:eastAsia="zh-CN" w:bidi="lo-LA"/>
        </w:rPr>
        <w:t>apmērā</w:t>
      </w:r>
      <w:r w:rsidRPr="00AA30EE">
        <w:rPr>
          <w:rStyle w:val="BulletsFChar"/>
          <w:lang w:eastAsia="zh-CN" w:bidi="lo-LA"/>
        </w:rPr>
        <w:t>.</w:t>
      </w:r>
      <w:r w:rsidRPr="00F4586B" w:rsidR="00F4586B">
        <w:rPr>
          <w:rStyle w:val="BulletsFChar"/>
          <w:lang w:eastAsia="zh-CN" w:bidi="lo-LA"/>
        </w:rPr>
        <w:t xml:space="preserve"> </w:t>
      </w:r>
      <w:r>
        <w:rPr>
          <w:rStyle w:val="BulletsFChar"/>
          <w:lang w:eastAsia="zh-CN" w:bidi="lo-LA"/>
        </w:rPr>
        <w:t xml:space="preserve">Saskaņā ar KPVIS sistēmā uz </w:t>
      </w:r>
      <w:r w:rsidR="003C5CE1">
        <w:rPr>
          <w:rStyle w:val="BulletsFChar"/>
          <w:lang w:eastAsia="zh-CN" w:bidi="lo-LA"/>
        </w:rPr>
        <w:t>1</w:t>
      </w:r>
      <w:r w:rsidR="006D7218">
        <w:rPr>
          <w:rStyle w:val="BulletsFChar"/>
          <w:lang w:eastAsia="zh-CN" w:bidi="lo-LA"/>
        </w:rPr>
        <w:t>8</w:t>
      </w:r>
      <w:r>
        <w:rPr>
          <w:rStyle w:val="BulletsFChar"/>
          <w:lang w:eastAsia="zh-CN" w:bidi="lo-LA"/>
        </w:rPr>
        <w:t>.</w:t>
      </w:r>
      <w:r w:rsidR="00D137A2">
        <w:rPr>
          <w:rStyle w:val="BulletsFChar"/>
          <w:lang w:eastAsia="zh-CN" w:bidi="lo-LA"/>
        </w:rPr>
        <w:t>1</w:t>
      </w:r>
      <w:r w:rsidR="003C5CE1">
        <w:rPr>
          <w:rStyle w:val="BulletsFChar"/>
          <w:lang w:eastAsia="zh-CN" w:bidi="lo-LA"/>
        </w:rPr>
        <w:t>2</w:t>
      </w:r>
      <w:r>
        <w:rPr>
          <w:rStyle w:val="BulletsFChar"/>
          <w:lang w:eastAsia="zh-CN" w:bidi="lo-LA"/>
        </w:rPr>
        <w:t xml:space="preserve">.2017. pieejamo informāciju par </w:t>
      </w:r>
      <w:r w:rsidRPr="00593884">
        <w:rPr>
          <w:rStyle w:val="BulletsFChar"/>
          <w:i/>
          <w:lang w:eastAsia="zh-CN" w:bidi="lo-LA"/>
        </w:rPr>
        <w:t>2014.-2020. gada plānošanas perioda ES fonda projektu ietvaros veiktajiem maksājumiem/ apstiprinātiem izdevumiem atbilstoši apstiprinātajiem maksājumu pieprasījumiem</w:t>
      </w:r>
      <w:r>
        <w:rPr>
          <w:rStyle w:val="BulletsFChar"/>
          <w:i/>
          <w:lang w:eastAsia="zh-CN" w:bidi="lo-LA"/>
        </w:rPr>
        <w:t xml:space="preserve"> </w:t>
      </w:r>
      <w:r>
        <w:rPr>
          <w:rStyle w:val="BulletsFChar"/>
          <w:lang w:eastAsia="zh-CN" w:bidi="lo-LA"/>
        </w:rPr>
        <w:t xml:space="preserve">1.1.1.1. pasākumu ietvaros veikto ERAF maksājumu apmērs </w:t>
      </w:r>
      <w:r w:rsidR="005F61D6">
        <w:rPr>
          <w:rStyle w:val="BulletsFChar"/>
          <w:lang w:eastAsia="zh-CN" w:bidi="lo-LA"/>
        </w:rPr>
        <w:t xml:space="preserve">veido </w:t>
      </w:r>
      <w:r w:rsidR="003C5CE1">
        <w:rPr>
          <w:rStyle w:val="BulletsFChar"/>
          <w:lang w:eastAsia="zh-CN" w:bidi="lo-LA"/>
        </w:rPr>
        <w:t>7,84</w:t>
      </w:r>
      <w:r>
        <w:rPr>
          <w:rStyle w:val="BulletsFChar"/>
          <w:lang w:eastAsia="zh-CN" w:bidi="lo-LA"/>
        </w:rPr>
        <w:t xml:space="preserve"> % no kopējā </w:t>
      </w:r>
      <w:r w:rsidR="006833FD">
        <w:rPr>
          <w:rStyle w:val="BulletsFChar"/>
          <w:lang w:eastAsia="zh-CN" w:bidi="lo-LA"/>
        </w:rPr>
        <w:t>Praktisko pētījumu programmas</w:t>
      </w:r>
      <w:r>
        <w:rPr>
          <w:rStyle w:val="BulletsFChar"/>
          <w:lang w:eastAsia="zh-CN" w:bidi="lo-LA"/>
        </w:rPr>
        <w:t xml:space="preserve"> ietvaros pieejamā ERAF </w:t>
      </w:r>
      <w:r w:rsidR="00CD23D3">
        <w:rPr>
          <w:rStyle w:val="BulletsFChar"/>
          <w:lang w:eastAsia="zh-CN" w:bidi="lo-LA"/>
        </w:rPr>
        <w:t xml:space="preserve">finansējuma </w:t>
      </w:r>
      <w:r>
        <w:rPr>
          <w:rStyle w:val="BulletsFChar"/>
          <w:lang w:eastAsia="zh-CN" w:bidi="lo-LA"/>
        </w:rPr>
        <w:t>apmēra (</w:t>
      </w:r>
      <w:r w:rsidR="00674F67">
        <w:rPr>
          <w:rStyle w:val="BulletsFChar"/>
          <w:lang w:eastAsia="zh-CN" w:bidi="lo-LA"/>
        </w:rPr>
        <w:fldChar w:fldCharType="begin"/>
      </w:r>
      <w:r w:rsidR="00674F67">
        <w:rPr>
          <w:rStyle w:val="BulletsFChar"/>
          <w:lang w:eastAsia="zh-CN" w:bidi="lo-LA"/>
        </w:rPr>
        <w:instrText xml:space="preserve"> REF _Ref495565337 \h </w:instrText>
      </w:r>
      <w:r w:rsidR="00674F67">
        <w:rPr>
          <w:rStyle w:val="BulletsFChar"/>
          <w:lang w:eastAsia="zh-CN" w:bidi="lo-LA"/>
        </w:rPr>
        <w:fldChar w:fldCharType="separate"/>
      </w:r>
      <w:r>
        <w:t>7</w:t>
      </w:r>
      <w:r w:rsidRPr="003E195D" w:rsidR="00D137A2">
        <w:t>. </w:t>
      </w:r>
      <w:r w:rsidR="00D137A2">
        <w:t>attēls</w:t>
      </w:r>
      <w:r w:rsidR="00674F67">
        <w:rPr>
          <w:rStyle w:val="BulletsFChar"/>
          <w:lang w:eastAsia="zh-CN" w:bidi="lo-LA"/>
        </w:rPr>
        <w:fldChar w:fldCharType="end"/>
      </w:r>
      <w:r>
        <w:rPr>
          <w:rStyle w:val="BulletsFChar"/>
          <w:lang w:eastAsia="zh-CN" w:bidi="lo-LA"/>
        </w:rPr>
        <w:t>)</w:t>
      </w:r>
      <w:r w:rsidR="008B774B">
        <w:rPr>
          <w:rStyle w:val="BulletsFChar"/>
          <w:lang w:eastAsia="zh-CN" w:bidi="lo-LA"/>
        </w:rPr>
        <w:t>.</w:t>
      </w:r>
    </w:p>
    <w:p w:rsidR="00C05082" w:rsidP="008B774B" w14:paraId="27CE2E03" w14:textId="77777777">
      <w:pPr>
        <w:spacing w:before="0" w:after="0"/>
        <w:rPr>
          <w:rStyle w:val="BulletsFChar"/>
          <w:lang w:eastAsia="zh-CN" w:bidi="lo-LA"/>
        </w:rPr>
      </w:pPr>
      <w:r>
        <w:rPr>
          <w:rStyle w:val="BulletsFChar"/>
          <w:lang w:eastAsia="zh-CN" w:bidi="lo-LA"/>
        </w:rPr>
        <w:t xml:space="preserve">Saskaņā ar MK noteikumu Nr. 50 2.2. apakšpunktā noteikto finanšu rādītāju </w:t>
      </w:r>
      <w:r w:rsidR="002A414E">
        <w:rPr>
          <w:rStyle w:val="BulletsFChar"/>
        </w:rPr>
        <w:t>Pēcdoktorantūras pētījumu</w:t>
      </w:r>
      <w:r w:rsidRPr="005C1071" w:rsidR="002A414E">
        <w:rPr>
          <w:rStyle w:val="BulletsFChar"/>
        </w:rPr>
        <w:t xml:space="preserve"> </w:t>
      </w:r>
      <w:r w:rsidR="002A414E">
        <w:rPr>
          <w:rStyle w:val="BulletsFChar"/>
        </w:rPr>
        <w:t xml:space="preserve">programmas </w:t>
      </w:r>
      <w:r>
        <w:rPr>
          <w:rStyle w:val="BulletsFChar"/>
          <w:lang w:eastAsia="zh-CN" w:bidi="lo-LA"/>
        </w:rPr>
        <w:t xml:space="preserve">ietvaros līdz 2018.gada 31.decembrim sertificējami izdevumi 9 721 734 </w:t>
      </w:r>
      <w:r w:rsidRPr="006362AF">
        <w:rPr>
          <w:rStyle w:val="BulletsFChar"/>
          <w:i/>
          <w:lang w:eastAsia="zh-CN" w:bidi="lo-LA"/>
        </w:rPr>
        <w:t>euro</w:t>
      </w:r>
      <w:r>
        <w:rPr>
          <w:rStyle w:val="BulletsFChar"/>
          <w:i/>
          <w:lang w:eastAsia="zh-CN" w:bidi="lo-LA"/>
        </w:rPr>
        <w:t xml:space="preserve"> </w:t>
      </w:r>
      <w:r w:rsidRPr="00AA30EE">
        <w:rPr>
          <w:rStyle w:val="BulletsFChar"/>
          <w:lang w:eastAsia="zh-CN" w:bidi="lo-LA"/>
        </w:rPr>
        <w:t>apmērā.</w:t>
      </w:r>
      <w:r w:rsidRPr="00F4586B">
        <w:rPr>
          <w:rStyle w:val="BulletsFChar"/>
          <w:lang w:eastAsia="zh-CN" w:bidi="lo-LA"/>
        </w:rPr>
        <w:t xml:space="preserve"> </w:t>
      </w:r>
      <w:r>
        <w:rPr>
          <w:rStyle w:val="BulletsFChar"/>
          <w:lang w:eastAsia="zh-CN" w:bidi="lo-LA"/>
        </w:rPr>
        <w:t xml:space="preserve">Saskaņā ar KPVIS sistēmā uz </w:t>
      </w:r>
      <w:r w:rsidR="006D7218">
        <w:rPr>
          <w:rStyle w:val="BulletsFChar"/>
          <w:lang w:eastAsia="zh-CN" w:bidi="lo-LA"/>
        </w:rPr>
        <w:t>18</w:t>
      </w:r>
      <w:r>
        <w:rPr>
          <w:rStyle w:val="BulletsFChar"/>
          <w:lang w:eastAsia="zh-CN" w:bidi="lo-LA"/>
        </w:rPr>
        <w:t>.1</w:t>
      </w:r>
      <w:r w:rsidR="006D7218">
        <w:rPr>
          <w:rStyle w:val="BulletsFChar"/>
          <w:lang w:eastAsia="zh-CN" w:bidi="lo-LA"/>
        </w:rPr>
        <w:t>2</w:t>
      </w:r>
      <w:r>
        <w:rPr>
          <w:rStyle w:val="BulletsFChar"/>
          <w:lang w:eastAsia="zh-CN" w:bidi="lo-LA"/>
        </w:rPr>
        <w:t xml:space="preserve">.2017. pieejamo informāciju, </w:t>
      </w:r>
      <w:r w:rsidR="002A414E">
        <w:rPr>
          <w:rStyle w:val="BulletsFChar"/>
        </w:rPr>
        <w:t>Pēcdoktorantūras pētījumu</w:t>
      </w:r>
      <w:r w:rsidRPr="005C1071" w:rsidR="002A414E">
        <w:rPr>
          <w:rStyle w:val="BulletsFChar"/>
        </w:rPr>
        <w:t xml:space="preserve"> </w:t>
      </w:r>
      <w:r w:rsidR="002A414E">
        <w:rPr>
          <w:rStyle w:val="BulletsFChar"/>
        </w:rPr>
        <w:t xml:space="preserve">programmas </w:t>
      </w:r>
      <w:r>
        <w:rPr>
          <w:rStyle w:val="BulletsFChar"/>
          <w:lang w:eastAsia="zh-CN" w:bidi="lo-LA"/>
        </w:rPr>
        <w:t>a</w:t>
      </w:r>
      <w:r w:rsidRPr="00AA30EE">
        <w:rPr>
          <w:rStyle w:val="BulletsFChar"/>
          <w:lang w:eastAsia="zh-CN" w:bidi="lo-LA"/>
        </w:rPr>
        <w:t>pstiprinātā attiecināmo izdevumu kopsumma</w:t>
      </w:r>
      <w:r>
        <w:rPr>
          <w:rFonts w:ascii="Verdana" w:hAnsi="Verdana"/>
          <w:color w:val="000000"/>
          <w:sz w:val="18"/>
          <w:szCs w:val="18"/>
        </w:rPr>
        <w:t xml:space="preserve"> </w:t>
      </w:r>
      <w:r>
        <w:rPr>
          <w:rStyle w:val="BulletsFChar"/>
          <w:lang w:eastAsia="zh-CN" w:bidi="lo-LA"/>
        </w:rPr>
        <w:t xml:space="preserve">ir </w:t>
      </w:r>
      <w:r w:rsidR="006D7218">
        <w:t>454 975,24</w:t>
      </w:r>
      <w:r w:rsidRPr="00021B39">
        <w:rPr>
          <w:rFonts w:ascii="Calibri" w:eastAsia="Times New Roman" w:hAnsi="Calibri" w:cs="Times New Roman"/>
          <w:sz w:val="22"/>
          <w:szCs w:val="22"/>
          <w:lang w:eastAsia="lv-LV"/>
        </w:rPr>
        <w:t xml:space="preserve"> </w:t>
      </w:r>
      <w:r w:rsidRPr="00AA30EE">
        <w:rPr>
          <w:rStyle w:val="BulletsFChar"/>
          <w:i/>
          <w:lang w:eastAsia="zh-CN" w:bidi="lo-LA"/>
        </w:rPr>
        <w:t>euro</w:t>
      </w:r>
      <w:r>
        <w:rPr>
          <w:rStyle w:val="BulletsFChar"/>
          <w:i/>
          <w:lang w:eastAsia="zh-CN" w:bidi="lo-LA"/>
        </w:rPr>
        <w:t xml:space="preserve"> (</w:t>
      </w:r>
      <w:r w:rsidRPr="00B7288F">
        <w:rPr>
          <w:rStyle w:val="BulletsFChar"/>
          <w:lang w:eastAsia="zh-CN" w:bidi="lo-LA"/>
        </w:rPr>
        <w:t>t.sk. ERAF</w:t>
      </w:r>
      <w:r>
        <w:rPr>
          <w:rStyle w:val="BulletsFChar"/>
          <w:i/>
          <w:lang w:eastAsia="zh-CN" w:bidi="lo-LA"/>
        </w:rPr>
        <w:t xml:space="preserve"> </w:t>
      </w:r>
      <w:r w:rsidRPr="00B7288F">
        <w:t>3</w:t>
      </w:r>
      <w:r w:rsidR="006D7218">
        <w:t>86</w:t>
      </w:r>
      <w:r w:rsidR="002A2F34">
        <w:t> </w:t>
      </w:r>
      <w:r w:rsidR="006D7218">
        <w:t>728</w:t>
      </w:r>
      <w:r w:rsidR="002A2F34">
        <w:t>,</w:t>
      </w:r>
      <w:r w:rsidR="006D7218">
        <w:t>95</w:t>
      </w:r>
      <w:r>
        <w:t xml:space="preserve"> </w:t>
      </w:r>
      <w:r w:rsidRPr="00AA30EE">
        <w:rPr>
          <w:rStyle w:val="BulletsFChar"/>
          <w:i/>
          <w:lang w:eastAsia="zh-CN" w:bidi="lo-LA"/>
        </w:rPr>
        <w:t>euro</w:t>
      </w:r>
      <w:r>
        <w:rPr>
          <w:rStyle w:val="BulletsFChar"/>
          <w:i/>
          <w:lang w:eastAsia="zh-CN" w:bidi="lo-LA"/>
        </w:rPr>
        <w:t>)</w:t>
      </w:r>
      <w:r>
        <w:rPr>
          <w:rStyle w:val="BulletsFChar"/>
          <w:lang w:eastAsia="zh-CN" w:bidi="lo-LA"/>
        </w:rPr>
        <w:t xml:space="preserve">, </w:t>
      </w:r>
      <w:r w:rsidR="006D7218">
        <w:rPr>
          <w:rStyle w:val="BulletsFChar"/>
          <w:lang w:eastAsia="zh-CN" w:bidi="lo-LA"/>
        </w:rPr>
        <w:t>minētie finanšu</w:t>
      </w:r>
      <w:r>
        <w:rPr>
          <w:rStyle w:val="BulletsFChar"/>
          <w:lang w:eastAsia="zh-CN" w:bidi="lo-LA"/>
        </w:rPr>
        <w:t xml:space="preserve"> rādītāji ir attiecināmi uz finansējuma saņēmēja – VIAA īstenotām darbībām.</w:t>
      </w:r>
    </w:p>
    <w:p w:rsidR="008B774B" w:rsidP="008B774B" w14:paraId="2BC7E290" w14:textId="77777777">
      <w:pPr>
        <w:spacing w:before="0" w:after="0"/>
        <w:rPr>
          <w:rStyle w:val="BulletsFChar"/>
          <w:lang w:eastAsia="zh-CN" w:bidi="lo-LA"/>
        </w:rPr>
      </w:pPr>
    </w:p>
    <w:p w:rsidR="003C5CE1" w:rsidP="003C5CE1" w14:paraId="2E4B6E01" w14:textId="77777777">
      <w:pPr>
        <w:spacing w:before="0" w:after="0"/>
        <w:jc w:val="center"/>
        <w:rPr>
          <w:rStyle w:val="BulletsFChar"/>
          <w:lang w:eastAsia="zh-CN" w:bidi="lo-LA"/>
        </w:rPr>
      </w:pPr>
      <w:r>
        <w:rPr>
          <w:noProof/>
          <w:lang w:eastAsia="lv-LV"/>
        </w:rPr>
        <w:drawing>
          <wp:inline distT="0" distB="0" distL="0" distR="0">
            <wp:extent cx="4987857" cy="1716932"/>
            <wp:effectExtent l="0" t="0" r="381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37A2" w:rsidRPr="003E195D" w:rsidP="00D137A2" w14:paraId="1EC7DEFA" w14:textId="77777777">
      <w:pPr>
        <w:pStyle w:val="Caption"/>
      </w:pPr>
      <w:bookmarkStart w:id="78" w:name="_Ref495565337"/>
      <w:r>
        <w:fldChar w:fldCharType="begin"/>
      </w:r>
      <w:r>
        <w:instrText xml:space="preserve"> SEQ attēls \* ARABIC </w:instrText>
      </w:r>
      <w:r>
        <w:fldChar w:fldCharType="separate"/>
      </w:r>
      <w:r>
        <w:t>7</w:t>
      </w:r>
      <w:r>
        <w:rPr>
          <w:noProof/>
        </w:rPr>
        <w:fldChar w:fldCharType="end"/>
      </w:r>
      <w:r w:rsidRPr="003E195D">
        <w:t>. </w:t>
      </w:r>
      <w:r>
        <w:t>attēls</w:t>
      </w:r>
      <w:bookmarkEnd w:id="78"/>
      <w:r w:rsidRPr="003E195D">
        <w:t xml:space="preserve">. Atbilstoši apstiprinātajiem maksājumu pieprasījumiem veikto ERAF maksājumu īpatsvars no kopējā </w:t>
      </w:r>
      <w:r w:rsidR="001E63D3">
        <w:t>Praktiskas ievirzes pētījumu programmas</w:t>
      </w:r>
      <w:r w:rsidRPr="003E195D">
        <w:t xml:space="preserve"> ietvaros pieejamā ERAF finansējuma (uz </w:t>
      </w:r>
      <w:r w:rsidR="00674F67">
        <w:t>02</w:t>
      </w:r>
      <w:r w:rsidRPr="003E195D">
        <w:t>.</w:t>
      </w:r>
      <w:r w:rsidR="00674F67">
        <w:t>10</w:t>
      </w:r>
      <w:r w:rsidRPr="003E195D">
        <w:t>.2017.)</w:t>
      </w:r>
      <w:r>
        <w:rPr>
          <w:rStyle w:val="FootnoteReference"/>
          <w:sz w:val="20"/>
        </w:rPr>
        <w:footnoteReference w:id="8"/>
      </w:r>
      <w:r w:rsidRPr="003E195D">
        <w:t xml:space="preserve"> </w:t>
      </w:r>
    </w:p>
    <w:p w:rsidR="00AE1CF9" w:rsidP="00F625A8" w14:paraId="74C1E2A7" w14:textId="77777777">
      <w:pPr>
        <w:pStyle w:val="Heading2"/>
        <w:rPr>
          <w:rFonts w:cs="Times New Roman"/>
          <w:color w:val="000000"/>
          <w14:textFill>
            <w14:solidFill>
              <w14:srgbClr w14:val="000000">
                <w14:lumMod w14:val="75000"/>
              </w14:srgbClr>
            </w14:solidFill>
          </w14:textFill>
        </w:rPr>
      </w:pPr>
      <w:bookmarkStart w:id="79" w:name="_Toc494727606"/>
      <w:bookmarkStart w:id="80" w:name="_Toc499019519"/>
      <w:bookmarkStart w:id="81" w:name="_Toc505086375"/>
      <w:bookmarkStart w:id="82" w:name="_Toc256000013"/>
      <w:bookmarkStart w:id="83" w:name="_Toc256000040"/>
      <w:r>
        <w:rPr>
          <w:rFonts w:eastAsia="SimSun"/>
        </w:rPr>
        <w:t>2.</w:t>
      </w:r>
      <w:r w:rsidR="004D7B4F">
        <w:rPr>
          <w:rFonts w:eastAsia="SimSun"/>
        </w:rPr>
        <w:t>3</w:t>
      </w:r>
      <w:r>
        <w:rPr>
          <w:rFonts w:eastAsia="SimSun"/>
        </w:rPr>
        <w:t>.</w:t>
      </w:r>
      <w:r w:rsidR="00362C15">
        <w:rPr>
          <w:rFonts w:eastAsia="SimSun"/>
        </w:rPr>
        <w:t> </w:t>
      </w:r>
      <w:r w:rsidR="00ED39D9">
        <w:rPr>
          <w:rFonts w:eastAsia="SimSun"/>
        </w:rPr>
        <w:t>Investīcijas</w:t>
      </w:r>
      <w:r w:rsidRPr="008E3F65">
        <w:t xml:space="preserve"> </w:t>
      </w:r>
      <w:r w:rsidR="00ED39D9">
        <w:t xml:space="preserve">pētniecībā </w:t>
      </w:r>
      <w:r w:rsidRPr="008E3F65">
        <w:t xml:space="preserve">RIS3 </w:t>
      </w:r>
      <w:bookmarkEnd w:id="79"/>
      <w:r w:rsidR="00ED39D9">
        <w:t>specializācijas jomās</w:t>
      </w:r>
      <w:bookmarkEnd w:id="83"/>
      <w:bookmarkEnd w:id="82"/>
      <w:bookmarkEnd w:id="80"/>
      <w:bookmarkEnd w:id="81"/>
    </w:p>
    <w:p w:rsidR="00AE1CF9" w:rsidRPr="002A2F34" w:rsidP="00DE017F" w14:paraId="4D210599" w14:textId="77777777">
      <w:pPr>
        <w:ind w:firstLine="426"/>
        <w:rPr>
          <w:rFonts w:cs="Times New Roman"/>
          <w:bCs/>
          <w:color w:val="000000"/>
        </w:rPr>
      </w:pPr>
      <w:r>
        <w:rPr>
          <w:rFonts w:cs="Times New Roman"/>
          <w:bCs/>
          <w:color w:val="000000"/>
        </w:rPr>
        <w:t>Praktiskas ievirzes pētījumu programmas</w:t>
      </w:r>
      <w:r w:rsidRPr="002A2F34">
        <w:rPr>
          <w:rFonts w:cs="Times New Roman"/>
          <w:bCs/>
          <w:color w:val="000000"/>
        </w:rPr>
        <w:t xml:space="preserve"> ietvaros apjomīgākās investīcijas paredzētas pētniecības īstenošanai RIS3 specializācijas jomās </w:t>
      </w:r>
      <w:r w:rsidRPr="002A2F34" w:rsidR="00A26E0A">
        <w:rPr>
          <w:rFonts w:cs="Times New Roman"/>
          <w:bCs/>
          <w:color w:val="000000"/>
        </w:rPr>
        <w:t>“</w:t>
      </w:r>
      <w:r w:rsidRPr="002A2F34">
        <w:rPr>
          <w:rFonts w:cs="Times New Roman"/>
          <w:bCs/>
          <w:color w:val="000000"/>
        </w:rPr>
        <w:t>Viedie materiāli, tehnoloģijas un inženiersistēmas</w:t>
      </w:r>
      <w:r w:rsidRPr="002A2F34" w:rsidR="00A26E0A">
        <w:rPr>
          <w:rFonts w:cs="Times New Roman"/>
          <w:bCs/>
          <w:color w:val="000000"/>
        </w:rPr>
        <w:t>”</w:t>
      </w:r>
      <w:r w:rsidRPr="002A2F34">
        <w:rPr>
          <w:rFonts w:cs="Times New Roman"/>
          <w:bCs/>
          <w:color w:val="000000"/>
        </w:rPr>
        <w:t xml:space="preserve"> – ieguldot </w:t>
      </w:r>
      <w:r w:rsidRPr="002A2F34" w:rsidR="00D563A6">
        <w:rPr>
          <w:rFonts w:cs="Times New Roman"/>
          <w:bCs/>
          <w:color w:val="000000"/>
        </w:rPr>
        <w:t>16,</w:t>
      </w:r>
      <w:r w:rsidRPr="002A2F34" w:rsidR="000415B8">
        <w:rPr>
          <w:rFonts w:cs="Times New Roman"/>
          <w:bCs/>
          <w:color w:val="000000"/>
        </w:rPr>
        <w:t>31</w:t>
      </w:r>
      <w:r w:rsidRPr="002A2F34">
        <w:rPr>
          <w:rFonts w:cs="Times New Roman"/>
          <w:bCs/>
          <w:color w:val="000000"/>
        </w:rPr>
        <w:t xml:space="preserve"> MEUR un </w:t>
      </w:r>
      <w:r w:rsidRPr="002A2F34" w:rsidR="00A26E0A">
        <w:rPr>
          <w:rFonts w:cs="Times New Roman"/>
          <w:bCs/>
          <w:color w:val="000000"/>
        </w:rPr>
        <w:t>“</w:t>
      </w:r>
      <w:r w:rsidRPr="002A2F34">
        <w:rPr>
          <w:rFonts w:cs="Times New Roman"/>
          <w:bCs/>
          <w:color w:val="000000"/>
        </w:rPr>
        <w:t>Biomedicīna, medicīnas tehnoloģijas, biofarmācija un biotehnoloģijas</w:t>
      </w:r>
      <w:r w:rsidRPr="002A2F34" w:rsidR="00A26E0A">
        <w:rPr>
          <w:rFonts w:cs="Times New Roman"/>
          <w:bCs/>
          <w:color w:val="000000"/>
        </w:rPr>
        <w:t>”</w:t>
      </w:r>
      <w:r w:rsidRPr="002A2F34">
        <w:rPr>
          <w:rFonts w:cs="Times New Roman"/>
          <w:bCs/>
          <w:color w:val="000000"/>
        </w:rPr>
        <w:t xml:space="preserve"> – ieguldot </w:t>
      </w:r>
      <w:r w:rsidRPr="002A2F34" w:rsidR="00D563A6">
        <w:rPr>
          <w:rFonts w:cs="Times New Roman"/>
          <w:bCs/>
          <w:color w:val="000000"/>
        </w:rPr>
        <w:t>13,66</w:t>
      </w:r>
      <w:r w:rsidRPr="002A2F34">
        <w:rPr>
          <w:rFonts w:cs="Times New Roman"/>
          <w:bCs/>
          <w:color w:val="000000"/>
        </w:rPr>
        <w:t xml:space="preserve"> MEUR (</w:t>
      </w:r>
      <w:r w:rsidR="00DE017F">
        <w:rPr>
          <w:rFonts w:cs="Times New Roman"/>
          <w:bCs/>
          <w:color w:val="000000"/>
        </w:rPr>
        <w:t>8. attēls).</w:t>
      </w:r>
      <w:r w:rsidRPr="002A2F34">
        <w:rPr>
          <w:rFonts w:cs="Times New Roman"/>
          <w:bCs/>
          <w:color w:val="000000"/>
        </w:rPr>
        <w:t xml:space="preserve"> </w:t>
      </w:r>
    </w:p>
    <w:p w:rsidR="002825D3" w:rsidP="002825D3" w14:paraId="06E08BD6" w14:textId="6AEBEA8E">
      <w:pPr>
        <w:ind w:firstLine="426"/>
        <w:rPr>
          <w:rFonts w:eastAsia="SimSun" w:cs="Times New Roman"/>
          <w:lang w:eastAsia="zh-CN" w:bidi="lo-LA"/>
        </w:rPr>
      </w:pPr>
      <w:r w:rsidRPr="00A233C9">
        <w:rPr>
          <w:rFonts w:cs="Times New Roman"/>
          <w:bCs/>
          <w:color w:val="000000"/>
        </w:rPr>
        <w:t>1.1.1.2. pasākuma ietvaros</w:t>
      </w:r>
      <w:r w:rsidRPr="008E3F65">
        <w:rPr>
          <w:rFonts w:cs="Times New Roman"/>
          <w:b/>
          <w:bCs/>
          <w:color w:val="000000"/>
        </w:rPr>
        <w:t xml:space="preserve"> </w:t>
      </w:r>
      <w:r w:rsidR="000415B8">
        <w:rPr>
          <w:rFonts w:eastAsia="SimSun" w:cs="Times New Roman"/>
          <w:lang w:eastAsia="zh-CN" w:bidi="lo-LA"/>
        </w:rPr>
        <w:t>28</w:t>
      </w:r>
      <w:r w:rsidRPr="008E3F65">
        <w:rPr>
          <w:rFonts w:eastAsia="SimSun" w:cs="Times New Roman"/>
          <w:lang w:eastAsia="zh-CN" w:bidi="lo-LA"/>
        </w:rPr>
        <w:t>% no kopēj</w:t>
      </w:r>
      <w:r w:rsidR="00016C92">
        <w:rPr>
          <w:rFonts w:eastAsia="SimSun" w:cs="Times New Roman"/>
          <w:lang w:eastAsia="zh-CN" w:bidi="lo-LA"/>
        </w:rPr>
        <w:t>ā</w:t>
      </w:r>
      <w:r w:rsidRPr="008E3F65">
        <w:rPr>
          <w:rFonts w:eastAsia="SimSun" w:cs="Times New Roman"/>
          <w:lang w:eastAsia="zh-CN" w:bidi="lo-LA"/>
        </w:rPr>
        <w:t xml:space="preserve">m </w:t>
      </w:r>
      <w:r w:rsidR="00016C92">
        <w:rPr>
          <w:rFonts w:eastAsia="SimSun" w:cs="Times New Roman"/>
          <w:lang w:eastAsia="zh-CN" w:bidi="lo-LA"/>
        </w:rPr>
        <w:t xml:space="preserve">investīcijām </w:t>
      </w:r>
      <w:r w:rsidRPr="008E3F65">
        <w:rPr>
          <w:rFonts w:eastAsia="SimSun" w:cs="Times New Roman"/>
          <w:lang w:eastAsia="zh-CN" w:bidi="lo-LA"/>
        </w:rPr>
        <w:t xml:space="preserve">tiks </w:t>
      </w:r>
      <w:r w:rsidR="00016C92">
        <w:rPr>
          <w:rFonts w:eastAsia="SimSun" w:cs="Times New Roman"/>
          <w:lang w:eastAsia="zh-CN" w:bidi="lo-LA"/>
        </w:rPr>
        <w:t>ieguld</w:t>
      </w:r>
      <w:r w:rsidR="002030EF">
        <w:rPr>
          <w:rFonts w:eastAsia="SimSun" w:cs="Times New Roman"/>
          <w:lang w:eastAsia="zh-CN" w:bidi="lo-LA"/>
        </w:rPr>
        <w:t>ī</w:t>
      </w:r>
      <w:r w:rsidR="00016C92">
        <w:rPr>
          <w:rFonts w:eastAsia="SimSun" w:cs="Times New Roman"/>
          <w:lang w:eastAsia="zh-CN" w:bidi="lo-LA"/>
        </w:rPr>
        <w:t>ti</w:t>
      </w:r>
      <w:r w:rsidRPr="008E3F65">
        <w:rPr>
          <w:rFonts w:eastAsia="SimSun" w:cs="Times New Roman"/>
          <w:lang w:eastAsia="zh-CN" w:bidi="lo-LA"/>
        </w:rPr>
        <w:t xml:space="preserve"> RIS3 specializācijas jomā </w:t>
      </w:r>
      <w:r w:rsidR="00A26E0A">
        <w:rPr>
          <w:rFonts w:eastAsia="SimSun" w:cs="Times New Roman"/>
          <w:lang w:eastAsia="zh-CN" w:bidi="lo-LA"/>
        </w:rPr>
        <w:t>“</w:t>
      </w:r>
      <w:r w:rsidRPr="008E3F65">
        <w:rPr>
          <w:rFonts w:eastAsia="SimSun" w:cs="Times New Roman"/>
          <w:lang w:eastAsia="zh-CN" w:bidi="lo-LA"/>
        </w:rPr>
        <w:t>Viedie materiāli, tehnoloģijas un inženiersistēmas</w:t>
      </w:r>
      <w:r w:rsidR="00A26E0A">
        <w:rPr>
          <w:rFonts w:eastAsia="SimSun" w:cs="Times New Roman"/>
          <w:lang w:eastAsia="zh-CN" w:bidi="lo-LA"/>
        </w:rPr>
        <w:t>”</w:t>
      </w:r>
      <w:r w:rsidRPr="008E3F65">
        <w:rPr>
          <w:rFonts w:eastAsia="SimSun" w:cs="Times New Roman"/>
          <w:lang w:eastAsia="zh-CN" w:bidi="lo-LA"/>
        </w:rPr>
        <w:t xml:space="preserve">, </w:t>
      </w:r>
      <w:r w:rsidR="002030EF">
        <w:rPr>
          <w:rFonts w:eastAsia="SimSun" w:cs="Times New Roman"/>
          <w:lang w:eastAsia="zh-CN" w:bidi="lo-LA"/>
        </w:rPr>
        <w:t>22</w:t>
      </w:r>
      <w:r w:rsidRPr="008E3F65">
        <w:rPr>
          <w:rFonts w:eastAsia="SimSun" w:cs="Times New Roman"/>
          <w:lang w:eastAsia="zh-CN" w:bidi="lo-LA"/>
        </w:rPr>
        <w:t xml:space="preserve">% - RIS3 specializācijas jomā </w:t>
      </w:r>
      <w:r w:rsidR="00A26E0A">
        <w:rPr>
          <w:rFonts w:eastAsia="SimSun" w:cs="Times New Roman"/>
          <w:lang w:eastAsia="zh-CN" w:bidi="lo-LA"/>
        </w:rPr>
        <w:t>“</w:t>
      </w:r>
      <w:r w:rsidRPr="008E3F65">
        <w:rPr>
          <w:rFonts w:eastAsia="SimSun" w:cs="Times New Roman"/>
          <w:lang w:eastAsia="zh-CN" w:bidi="lo-LA"/>
        </w:rPr>
        <w:t>Biomedicīna, medicīnas tehnoloģijas, biofarmācija un biotehnoloģijas</w:t>
      </w:r>
      <w:r w:rsidR="00A26E0A">
        <w:rPr>
          <w:rFonts w:eastAsia="SimSun" w:cs="Times New Roman"/>
          <w:lang w:eastAsia="zh-CN" w:bidi="lo-LA"/>
        </w:rPr>
        <w:t>”</w:t>
      </w:r>
      <w:r w:rsidR="00016C92">
        <w:rPr>
          <w:rFonts w:eastAsia="SimSun" w:cs="Times New Roman"/>
          <w:lang w:eastAsia="zh-CN" w:bidi="lo-LA"/>
        </w:rPr>
        <w:t>,</w:t>
      </w:r>
      <w:r w:rsidRPr="008E3F65">
        <w:rPr>
          <w:rFonts w:eastAsia="SimSun" w:cs="Times New Roman"/>
          <w:lang w:eastAsia="zh-CN" w:bidi="lo-LA"/>
        </w:rPr>
        <w:t xml:space="preserve"> </w:t>
      </w:r>
      <w:r w:rsidR="002030EF">
        <w:rPr>
          <w:rFonts w:eastAsia="SimSun" w:cs="Times New Roman"/>
          <w:lang w:eastAsia="zh-CN" w:bidi="lo-LA"/>
        </w:rPr>
        <w:t>19</w:t>
      </w:r>
      <w:r w:rsidRPr="008E3F65">
        <w:rPr>
          <w:rFonts w:eastAsia="SimSun" w:cs="Times New Roman"/>
          <w:lang w:eastAsia="zh-CN" w:bidi="lo-LA"/>
        </w:rPr>
        <w:t xml:space="preserve">% no </w:t>
      </w:r>
      <w:r w:rsidR="002030EF">
        <w:rPr>
          <w:rFonts w:eastAsia="SimSun" w:cs="Times New Roman"/>
          <w:lang w:eastAsia="zh-CN" w:bidi="lo-LA"/>
        </w:rPr>
        <w:t>investīcijām tiks ieguldīti</w:t>
      </w:r>
      <w:r w:rsidRPr="008E3F65">
        <w:rPr>
          <w:rFonts w:eastAsia="SimSun" w:cs="Times New Roman"/>
          <w:lang w:eastAsia="zh-CN" w:bidi="lo-LA"/>
        </w:rPr>
        <w:t xml:space="preserve"> kādā no zinātņu nozarēm, kas neatbilst nevienai no RIS3 specializācijas jomām</w:t>
      </w:r>
      <w:r>
        <w:rPr>
          <w:rStyle w:val="FootnoteReference"/>
          <w:rFonts w:eastAsia="SimSun" w:cs="Times New Roman"/>
          <w:lang w:eastAsia="zh-CN" w:bidi="lo-LA"/>
        </w:rPr>
        <w:footnoteReference w:id="9"/>
      </w:r>
      <w:r w:rsidRPr="008E3F65">
        <w:rPr>
          <w:rFonts w:eastAsia="SimSun" w:cs="Times New Roman"/>
          <w:lang w:eastAsia="zh-CN" w:bidi="lo-LA"/>
        </w:rPr>
        <w:t xml:space="preserve">, </w:t>
      </w:r>
      <w:r w:rsidRPr="008E3F65">
        <w:rPr>
          <w:rFonts w:eastAsia="SimSun" w:cs="Times New Roman"/>
          <w:lang w:eastAsia="zh-CN" w:bidi="lo-LA"/>
        </w:rPr>
        <w:t>bet kuri sniedz nozīmīgu ieguldījumu kādā no RIS3 izvirzīto izaugsmes prioritāšu īstenošanā (</w:t>
      </w:r>
      <w:r w:rsidR="00D31948">
        <w:rPr>
          <w:rFonts w:eastAsia="SimSun" w:cs="Times New Roman"/>
          <w:lang w:eastAsia="zh-CN" w:bidi="lo-LA"/>
        </w:rPr>
        <w:fldChar w:fldCharType="begin"/>
      </w:r>
      <w:r w:rsidR="00D31948">
        <w:rPr>
          <w:rFonts w:eastAsia="SimSun" w:cs="Times New Roman"/>
          <w:lang w:eastAsia="zh-CN" w:bidi="lo-LA"/>
        </w:rPr>
        <w:instrText xml:space="preserve"> REF _Ref494276244 \h </w:instrText>
      </w:r>
      <w:r w:rsidR="00D31948">
        <w:rPr>
          <w:rFonts w:eastAsia="SimSun" w:cs="Times New Roman"/>
          <w:lang w:eastAsia="zh-CN" w:bidi="lo-LA"/>
        </w:rPr>
        <w:fldChar w:fldCharType="separate"/>
      </w:r>
      <w:r>
        <w:t>9</w:t>
      </w:r>
      <w:r w:rsidR="00AE1CF9">
        <w:t xml:space="preserve">. </w:t>
      </w:r>
      <w:r>
        <w:t>attēls</w:t>
      </w:r>
      <w:r w:rsidR="00D31948">
        <w:rPr>
          <w:rFonts w:eastAsia="SimSun" w:cs="Times New Roman"/>
          <w:lang w:eastAsia="zh-CN" w:bidi="lo-LA"/>
        </w:rPr>
        <w:fldChar w:fldCharType="end"/>
      </w:r>
      <w:r w:rsidRPr="008E3F65">
        <w:rPr>
          <w:rFonts w:eastAsia="SimSun" w:cs="Times New Roman"/>
          <w:lang w:eastAsia="zh-CN" w:bidi="lo-LA"/>
        </w:rPr>
        <w:t>).</w:t>
      </w:r>
    </w:p>
    <w:p w:rsidR="001D3660" w:rsidP="001D3660" w14:paraId="6F614EA1" w14:textId="77777777">
      <w:pPr>
        <w:pStyle w:val="Caption"/>
        <w:jc w:val="center"/>
      </w:pPr>
      <w:bookmarkStart w:id="84" w:name="_Ref491088566"/>
      <w:bookmarkStart w:id="85" w:name="_Ref490487303"/>
      <w:r>
        <w:rPr>
          <w:noProof/>
          <w:lang w:eastAsia="lv-LV"/>
        </w:rPr>
        <w:drawing>
          <wp:inline distT="0" distB="0" distL="0" distR="0">
            <wp:extent cx="5267960" cy="2524125"/>
            <wp:effectExtent l="0" t="0" r="889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1CF9" w:rsidP="001D3660" w14:paraId="0312780B" w14:textId="77777777">
      <w:pPr>
        <w:pStyle w:val="Caption"/>
      </w:pPr>
      <w:bookmarkStart w:id="86" w:name="_Ref495565531"/>
      <w:r>
        <w:fldChar w:fldCharType="begin"/>
      </w:r>
      <w:r>
        <w:instrText xml:space="preserve"> SEQ attēls \* ARABIC </w:instrText>
      </w:r>
      <w:r>
        <w:fldChar w:fldCharType="separate"/>
      </w:r>
      <w:r>
        <w:t>8</w:t>
      </w:r>
      <w:r>
        <w:rPr>
          <w:noProof/>
        </w:rPr>
        <w:fldChar w:fldCharType="end"/>
      </w:r>
      <w:r>
        <w:t>. </w:t>
      </w:r>
      <w:bookmarkEnd w:id="84"/>
      <w:r w:rsidR="00021B39">
        <w:t>attēls</w:t>
      </w:r>
      <w:bookmarkEnd w:id="86"/>
      <w:r>
        <w:t xml:space="preserve">. </w:t>
      </w:r>
      <w:r w:rsidRPr="007511D2">
        <w:t xml:space="preserve">Kopējā </w:t>
      </w:r>
      <w:r w:rsidR="00090A07">
        <w:t xml:space="preserve">attiecināmā </w:t>
      </w:r>
      <w:r w:rsidRPr="007511D2">
        <w:t xml:space="preserve">finansējuma </w:t>
      </w:r>
      <w:r w:rsidR="00090A07">
        <w:t xml:space="preserve">(MEUR) </w:t>
      </w:r>
      <w:r w:rsidRPr="007511D2">
        <w:t>sadalījums par RIS3 specializācijas jomām 1.1.1.1.pasākuma ietvaros</w:t>
      </w:r>
      <w:bookmarkEnd w:id="85"/>
    </w:p>
    <w:p w:rsidR="009548FC" w:rsidRPr="009548FC" w:rsidP="009548FC" w14:paraId="2CFFEF99" w14:textId="2C6D97D5">
      <w:r>
        <w:rPr>
          <w:noProof/>
          <w:lang w:eastAsia="lv-LV"/>
        </w:rPr>
        <w:drawing>
          <wp:inline distT="0" distB="0" distL="0" distR="0">
            <wp:extent cx="5760085" cy="26987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6293" name=""/>
                    <pic:cNvPicPr/>
                  </pic:nvPicPr>
                  <pic:blipFill>
                    <a:blip xmlns:r="http://schemas.openxmlformats.org/officeDocument/2006/relationships" r:embed="rId28"/>
                    <a:stretch>
                      <a:fillRect/>
                    </a:stretch>
                  </pic:blipFill>
                  <pic:spPr>
                    <a:xfrm>
                      <a:off x="0" y="0"/>
                      <a:ext cx="5760085" cy="2698750"/>
                    </a:xfrm>
                    <a:prstGeom prst="rect">
                      <a:avLst/>
                    </a:prstGeom>
                  </pic:spPr>
                </pic:pic>
              </a:graphicData>
            </a:graphic>
          </wp:inline>
        </w:drawing>
      </w:r>
    </w:p>
    <w:p w:rsidR="001D3660" w:rsidRPr="001D3660" w:rsidP="001D3660" w14:paraId="7693F3B7" w14:textId="77777777">
      <w:pPr>
        <w:jc w:val="center"/>
      </w:pPr>
      <w:r>
        <w:rPr>
          <w:noProof/>
          <w:color w:val="404040" w:themeColor="text1" w:themeTint="BF"/>
          <w:sz w:val="20"/>
          <w:szCs w:val="20"/>
          <w:lang w:eastAsia="lv-LV"/>
        </w:rPr>
        <w:drawing>
          <wp:inline distT="0" distB="0" distL="0" distR="0">
            <wp:extent cx="5315235" cy="2295330"/>
            <wp:effectExtent l="0" t="0" r="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52F3" w:rsidP="00021B39" w14:paraId="24F9BCC1" w14:textId="77777777">
      <w:pPr>
        <w:pStyle w:val="Caption"/>
      </w:pPr>
      <w:bookmarkStart w:id="87" w:name="_Ref494276244"/>
      <w:bookmarkStart w:id="88" w:name="_Ref490487437"/>
      <w:r>
        <w:fldChar w:fldCharType="begin"/>
      </w:r>
      <w:r>
        <w:instrText xml:space="preserve"> SEQ attēls \* ARABIC </w:instrText>
      </w:r>
      <w:r>
        <w:fldChar w:fldCharType="separate"/>
      </w:r>
      <w:r>
        <w:t>9</w:t>
      </w:r>
      <w:r>
        <w:fldChar w:fldCharType="end"/>
      </w:r>
      <w:r w:rsidR="00AE1CF9">
        <w:t xml:space="preserve">. </w:t>
      </w:r>
      <w:r>
        <w:t>attēls</w:t>
      </w:r>
      <w:bookmarkEnd w:id="87"/>
      <w:r>
        <w:t xml:space="preserve">. </w:t>
      </w:r>
      <w:r w:rsidRPr="007511D2" w:rsidR="00AE1CF9">
        <w:t xml:space="preserve">Kopējā finansējuma sadalījums </w:t>
      </w:r>
      <w:r w:rsidR="003575B4">
        <w:t xml:space="preserve">(MEUR) </w:t>
      </w:r>
      <w:r w:rsidRPr="007511D2" w:rsidR="00AE1CF9">
        <w:t xml:space="preserve">pa RIS3 specializācijas jomām </w:t>
      </w:r>
      <w:r w:rsidR="006833FD">
        <w:t xml:space="preserve">Pēcdoktorantūras pētniecības programmas </w:t>
      </w:r>
      <w:r w:rsidRPr="007511D2" w:rsidR="00AE1CF9">
        <w:t xml:space="preserve"> ietvaros</w:t>
      </w:r>
      <w:bookmarkStart w:id="89" w:name="_Ref491253474"/>
      <w:bookmarkStart w:id="90" w:name="_Ref491253467"/>
      <w:bookmarkEnd w:id="88"/>
    </w:p>
    <w:p w:rsidR="00950805" w:rsidP="00950805" w14:paraId="1BCAF9AE" w14:textId="77777777">
      <w:r>
        <w:t>Praktiskas ievirzes pētījumu programmas</w:t>
      </w:r>
      <w:r>
        <w:t xml:space="preserve"> ietvaros rūpnieciskos pētījumus</w:t>
      </w:r>
      <w:r w:rsidRPr="007511D2">
        <w:t xml:space="preserve"> paredzēts </w:t>
      </w:r>
      <w:r>
        <w:t>veikt</w:t>
      </w:r>
      <w:r w:rsidRPr="007511D2">
        <w:t xml:space="preserve"> </w:t>
      </w:r>
      <w:r>
        <w:t xml:space="preserve">šādās </w:t>
      </w:r>
      <w:r w:rsidRPr="007511D2">
        <w:t>RIS3 specializācijas jomās</w:t>
      </w:r>
      <w:r w:rsidR="002A2F34">
        <w:t xml:space="preserve"> (</w:t>
      </w:r>
      <w:r w:rsidR="002A2F34">
        <w:fldChar w:fldCharType="begin"/>
      </w:r>
      <w:r w:rsidR="002A2F34">
        <w:instrText xml:space="preserve"> REF _Ref494796907 \h </w:instrText>
      </w:r>
      <w:r w:rsidR="002A2F34">
        <w:fldChar w:fldCharType="separate"/>
      </w:r>
      <w:r>
        <w:rPr>
          <w:rFonts w:eastAsia="SimSun" w:cs="Times New Roman"/>
          <w:lang w:eastAsia="zh-CN" w:bidi="lo-LA"/>
        </w:rPr>
        <w:t>10</w:t>
      </w:r>
      <w:r>
        <w:rPr>
          <w:rFonts w:eastAsia="SimSun" w:cs="Times New Roman"/>
          <w:lang w:eastAsia="zh-CN" w:bidi="lo-LA"/>
        </w:rPr>
        <w:t>. attēls</w:t>
      </w:r>
      <w:r w:rsidR="002A2F34">
        <w:fldChar w:fldCharType="end"/>
      </w:r>
      <w:r w:rsidR="002A2F34">
        <w:t>)</w:t>
      </w:r>
      <w:r>
        <w:t>:</w:t>
      </w:r>
      <w:r w:rsidRPr="007511D2">
        <w:t xml:space="preserve"> </w:t>
      </w:r>
    </w:p>
    <w:p w:rsidR="00950805" w:rsidP="00124CD6" w14:paraId="54D93937" w14:textId="77777777">
      <w:pPr>
        <w:pStyle w:val="BulletF"/>
      </w:pPr>
      <w:r>
        <w:t>v</w:t>
      </w:r>
      <w:r w:rsidRPr="007511D2">
        <w:t xml:space="preserve">iedie materiāli, tehnoloģijas un inženiersistēmas – </w:t>
      </w:r>
      <w:r>
        <w:t>21 projekts (36%);</w:t>
      </w:r>
    </w:p>
    <w:p w:rsidR="00950805" w:rsidP="00124CD6" w14:paraId="2C74C4E1" w14:textId="77777777">
      <w:pPr>
        <w:pStyle w:val="BulletF"/>
      </w:pPr>
      <w:r>
        <w:t>b</w:t>
      </w:r>
      <w:r w:rsidRPr="008E3F65">
        <w:t>iomedicīna, medicīnas tehnoloģijas, biofarmācija un biotehnoloģijas</w:t>
      </w:r>
      <w:r>
        <w:t xml:space="preserve"> </w:t>
      </w:r>
      <w:r w:rsidRPr="007511D2">
        <w:t>–</w:t>
      </w:r>
      <w:r>
        <w:t xml:space="preserve"> 16 projekti (27%);</w:t>
      </w:r>
    </w:p>
    <w:p w:rsidR="00950805" w:rsidP="00124CD6" w14:paraId="16B1B3AC" w14:textId="77777777">
      <w:pPr>
        <w:pStyle w:val="BulletF"/>
      </w:pPr>
      <w:r>
        <w:t>viedā enerģētika  -  9 projekti;</w:t>
      </w:r>
    </w:p>
    <w:p w:rsidR="00950805" w:rsidP="00124CD6" w14:paraId="3A468F59" w14:textId="77777777">
      <w:pPr>
        <w:pStyle w:val="BulletF"/>
      </w:pPr>
      <w:r>
        <w:t xml:space="preserve">zināšanu ietilpīga ekonomika </w:t>
      </w:r>
      <w:r>
        <w:softHyphen/>
        <w:t xml:space="preserve"> 8 projekti (14%);</w:t>
      </w:r>
    </w:p>
    <w:p w:rsidR="00950805" w:rsidP="00124CD6" w14:paraId="3FF61635" w14:textId="77777777">
      <w:pPr>
        <w:pStyle w:val="BulletF"/>
      </w:pPr>
      <w:r>
        <w:t>informācijas un komunikāciju tehnoloģijas – 5 projekti (8%).</w:t>
      </w:r>
    </w:p>
    <w:p w:rsidR="007320A1" w:rsidP="007320A1" w14:paraId="5EBED707" w14:textId="77777777">
      <w:r>
        <w:t>Praktiskas ievirzes pētījumu programmas</w:t>
      </w:r>
      <w:r>
        <w:t xml:space="preserve"> ietvaros ar saimniecisku darbību saistītus projektus plānots īstenot šādās </w:t>
      </w:r>
      <w:r w:rsidRPr="007511D2">
        <w:t>RIS3 specializācijas jomās</w:t>
      </w:r>
      <w:r>
        <w:t>:</w:t>
      </w:r>
      <w:r w:rsidRPr="007511D2">
        <w:t xml:space="preserve"> </w:t>
      </w:r>
      <w:r>
        <w:t>v</w:t>
      </w:r>
      <w:r w:rsidRPr="007511D2">
        <w:t>iedie materiāli, tehnoloģijas un inženiersistēmas</w:t>
      </w:r>
      <w:r>
        <w:t>, b</w:t>
      </w:r>
      <w:r w:rsidRPr="008E3F65">
        <w:rPr>
          <w:rFonts w:eastAsia="SimSun" w:cs="Times New Roman"/>
          <w:lang w:eastAsia="zh-CN" w:bidi="lo-LA"/>
        </w:rPr>
        <w:t>iomedicīna, medicīnas tehnoloģijas, biofarmācija un biotehnoloģijas</w:t>
      </w:r>
      <w:r>
        <w:rPr>
          <w:rFonts w:eastAsia="SimSun" w:cs="Times New Roman"/>
          <w:lang w:eastAsia="zh-CN" w:bidi="lo-LA"/>
        </w:rPr>
        <w:t xml:space="preserve">, </w:t>
      </w:r>
      <w:r>
        <w:t>zināšanu ietilpīga ekonomika, informācijas un komunikāciju tehnoloģijas</w:t>
      </w:r>
      <w:r w:rsidR="002A2F34">
        <w:t xml:space="preserve"> (</w:t>
      </w:r>
      <w:r w:rsidR="002A2F34">
        <w:fldChar w:fldCharType="begin"/>
      </w:r>
      <w:r w:rsidR="002A2F34">
        <w:instrText xml:space="preserve"> REF _Ref495562996 \h </w:instrText>
      </w:r>
      <w:r w:rsidR="002A2F34">
        <w:fldChar w:fldCharType="separate"/>
      </w:r>
      <w:r>
        <w:rPr>
          <w:rFonts w:eastAsia="SimSun" w:cs="Times New Roman"/>
          <w:lang w:eastAsia="zh-CN" w:bidi="lo-LA"/>
        </w:rPr>
        <w:t>11</w:t>
      </w:r>
      <w:r>
        <w:rPr>
          <w:rFonts w:eastAsia="SimSun" w:cs="Times New Roman"/>
          <w:lang w:eastAsia="zh-CN" w:bidi="lo-LA"/>
        </w:rPr>
        <w:t>. attēls</w:t>
      </w:r>
      <w:r w:rsidR="002A2F34">
        <w:fldChar w:fldCharType="end"/>
      </w:r>
      <w:r w:rsidR="002A2F34">
        <w:t>)</w:t>
      </w:r>
      <w:r>
        <w:t>.</w:t>
      </w:r>
    </w:p>
    <w:p w:rsidR="00ED39D9" w:rsidP="00ED39D9" w14:paraId="5A4C1756" w14:textId="77777777">
      <w:pPr>
        <w:pStyle w:val="BulletA"/>
        <w:numPr>
          <w:ilvl w:val="0"/>
          <w:numId w:val="0"/>
        </w:numPr>
        <w:ind w:left="1208" w:hanging="357"/>
        <w:jc w:val="center"/>
      </w:pPr>
      <w:r>
        <w:rPr>
          <w:noProof/>
          <w:lang w:eastAsia="lv-LV"/>
        </w:rPr>
        <w:drawing>
          <wp:inline distT="0" distB="0" distL="0" distR="0">
            <wp:extent cx="5126562" cy="1982755"/>
            <wp:effectExtent l="0" t="0" r="1714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39D9" w:rsidP="00ED39D9" w14:paraId="34281862" w14:textId="77777777">
      <w:pPr>
        <w:pStyle w:val="Caption"/>
        <w:rPr>
          <w:rFonts w:eastAsia="SimSun" w:cs="Times New Roman"/>
          <w:lang w:eastAsia="zh-CN" w:bidi="lo-LA"/>
        </w:rPr>
      </w:pPr>
      <w:bookmarkStart w:id="91" w:name="_Ref494796907"/>
      <w:r>
        <w:rPr>
          <w:rFonts w:eastAsia="SimSun" w:cs="Times New Roman"/>
          <w:lang w:eastAsia="zh-CN" w:bidi="lo-LA"/>
        </w:rPr>
        <w:fldChar w:fldCharType="begin"/>
      </w:r>
      <w:r>
        <w:rPr>
          <w:rFonts w:eastAsia="SimSun" w:cs="Times New Roman"/>
          <w:lang w:eastAsia="zh-CN" w:bidi="lo-LA"/>
        </w:rPr>
        <w:instrText xml:space="preserve"> SEQ attēls \* ARABIC </w:instrText>
      </w:r>
      <w:r>
        <w:rPr>
          <w:rFonts w:eastAsia="SimSun" w:cs="Times New Roman"/>
          <w:lang w:eastAsia="zh-CN" w:bidi="lo-LA"/>
        </w:rPr>
        <w:fldChar w:fldCharType="separate"/>
      </w:r>
      <w:r>
        <w:rPr>
          <w:rFonts w:eastAsia="SimSun" w:cs="Times New Roman"/>
          <w:lang w:eastAsia="zh-CN" w:bidi="lo-LA"/>
        </w:rPr>
        <w:t>10</w:t>
      </w:r>
      <w:r>
        <w:rPr>
          <w:rFonts w:eastAsia="SimSun" w:cs="Times New Roman"/>
          <w:lang w:eastAsia="zh-CN" w:bidi="lo-LA"/>
        </w:rPr>
        <w:fldChar w:fldCharType="end"/>
      </w:r>
      <w:r>
        <w:rPr>
          <w:rFonts w:eastAsia="SimSun" w:cs="Times New Roman"/>
          <w:lang w:eastAsia="zh-CN" w:bidi="lo-LA"/>
        </w:rPr>
        <w:t>. attēls</w:t>
      </w:r>
      <w:bookmarkEnd w:id="91"/>
      <w:r>
        <w:rPr>
          <w:rFonts w:eastAsia="SimSun" w:cs="Times New Roman"/>
          <w:lang w:eastAsia="zh-CN" w:bidi="lo-LA"/>
        </w:rPr>
        <w:t xml:space="preserve">. </w:t>
      </w:r>
      <w:r w:rsidR="001E63D3">
        <w:rPr>
          <w:rFonts w:eastAsia="SimSun" w:cs="Times New Roman"/>
          <w:lang w:eastAsia="zh-CN" w:bidi="lo-LA"/>
        </w:rPr>
        <w:t>Praktiskas ievirzes pētījumu programmas</w:t>
      </w:r>
      <w:r>
        <w:rPr>
          <w:rFonts w:eastAsia="SimSun" w:cs="Times New Roman"/>
          <w:lang w:eastAsia="zh-CN" w:bidi="lo-LA"/>
        </w:rPr>
        <w:t xml:space="preserve"> ietvaros apstiprināto rūpniecisko pētījumu skaits sadalījumā pa RIS3 specializācijas jomām </w:t>
      </w:r>
    </w:p>
    <w:p w:rsidR="00ED39D9" w:rsidP="00631282" w14:paraId="013C2ECA" w14:textId="77777777">
      <w:pPr>
        <w:jc w:val="right"/>
        <w:rPr>
          <w:lang w:eastAsia="zh-CN" w:bidi="lo-LA"/>
        </w:rPr>
      </w:pPr>
      <w:r>
        <w:rPr>
          <w:noProof/>
          <w:lang w:eastAsia="lv-LV"/>
        </w:rPr>
        <w:drawing>
          <wp:inline distT="0" distB="0" distL="0" distR="0">
            <wp:extent cx="5299502" cy="2449286"/>
            <wp:effectExtent l="0" t="0" r="15875" b="82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39D9" w:rsidP="00ED39D9" w14:paraId="7CDB9DEC" w14:textId="77777777">
      <w:pPr>
        <w:pStyle w:val="Caption"/>
        <w:rPr>
          <w:rFonts w:eastAsia="SimSun" w:cs="Times New Roman"/>
          <w:lang w:eastAsia="zh-CN" w:bidi="lo-LA"/>
        </w:rPr>
      </w:pPr>
      <w:bookmarkStart w:id="92" w:name="_Ref495562996"/>
      <w:r>
        <w:rPr>
          <w:rFonts w:eastAsia="SimSun" w:cs="Times New Roman"/>
          <w:lang w:eastAsia="zh-CN" w:bidi="lo-LA"/>
        </w:rPr>
        <w:fldChar w:fldCharType="begin"/>
      </w:r>
      <w:r>
        <w:rPr>
          <w:rFonts w:eastAsia="SimSun" w:cs="Times New Roman"/>
          <w:lang w:eastAsia="zh-CN" w:bidi="lo-LA"/>
        </w:rPr>
        <w:instrText xml:space="preserve"> SEQ attēls \* ARABIC </w:instrText>
      </w:r>
      <w:r>
        <w:rPr>
          <w:rFonts w:eastAsia="SimSun" w:cs="Times New Roman"/>
          <w:lang w:eastAsia="zh-CN" w:bidi="lo-LA"/>
        </w:rPr>
        <w:fldChar w:fldCharType="separate"/>
      </w:r>
      <w:r>
        <w:rPr>
          <w:rFonts w:eastAsia="SimSun" w:cs="Times New Roman"/>
          <w:lang w:eastAsia="zh-CN" w:bidi="lo-LA"/>
        </w:rPr>
        <w:t>11</w:t>
      </w:r>
      <w:r>
        <w:rPr>
          <w:rFonts w:eastAsia="SimSun" w:cs="Times New Roman"/>
          <w:lang w:eastAsia="zh-CN" w:bidi="lo-LA"/>
        </w:rPr>
        <w:fldChar w:fldCharType="end"/>
      </w:r>
      <w:r>
        <w:rPr>
          <w:rFonts w:eastAsia="SimSun" w:cs="Times New Roman"/>
          <w:lang w:eastAsia="zh-CN" w:bidi="lo-LA"/>
        </w:rPr>
        <w:t>. attēls</w:t>
      </w:r>
      <w:bookmarkEnd w:id="92"/>
      <w:r>
        <w:rPr>
          <w:rFonts w:eastAsia="SimSun" w:cs="Times New Roman"/>
          <w:lang w:eastAsia="zh-CN" w:bidi="lo-LA"/>
        </w:rPr>
        <w:t xml:space="preserve">. </w:t>
      </w:r>
      <w:r w:rsidR="001E63D3">
        <w:rPr>
          <w:rFonts w:eastAsia="SimSun" w:cs="Times New Roman"/>
          <w:lang w:eastAsia="zh-CN" w:bidi="lo-LA"/>
        </w:rPr>
        <w:t>Praktiskas ievirzes pētījumu programmas</w:t>
      </w:r>
      <w:r>
        <w:rPr>
          <w:rFonts w:eastAsia="SimSun" w:cs="Times New Roman"/>
          <w:lang w:eastAsia="zh-CN" w:bidi="lo-LA"/>
        </w:rPr>
        <w:t xml:space="preserve"> ietvaros piesaistītais privātā sektora finansējums sadalījumā pa RIS3 specializācijas jomām </w:t>
      </w:r>
    </w:p>
    <w:p w:rsidR="00EE7750" w:rsidP="00F73BB7" w14:paraId="10465CD3" w14:textId="77777777">
      <w:bookmarkEnd w:id="89"/>
      <w:bookmarkEnd w:id="90"/>
      <w:r>
        <w:t xml:space="preserve">Atbilstoši CFLA un VIAA sniegtajai informācijai </w:t>
      </w:r>
      <w:r w:rsidRPr="00E001EC" w:rsidR="00E001EC">
        <w:t>SAM 1.1.1. pirm</w:t>
      </w:r>
      <w:r w:rsidR="00E001EC">
        <w:t>ajā</w:t>
      </w:r>
      <w:r w:rsidRPr="00E001EC" w:rsidR="00E001EC">
        <w:t xml:space="preserve"> </w:t>
      </w:r>
      <w:r w:rsidR="00E001EC">
        <w:t xml:space="preserve">projektu iesniegumu atlases </w:t>
      </w:r>
      <w:r w:rsidRPr="00E001EC" w:rsidR="00E001EC">
        <w:t>kārt</w:t>
      </w:r>
      <w:r w:rsidR="00E001EC">
        <w:t>ā</w:t>
      </w:r>
      <w:r w:rsidRPr="00E001EC" w:rsidR="00E001EC">
        <w:t xml:space="preserve"> projektu ietvaros uzņemt</w:t>
      </w:r>
      <w:r>
        <w:t>as</w:t>
      </w:r>
      <w:r w:rsidRPr="00E001EC" w:rsidR="00E001EC">
        <w:t xml:space="preserve"> </w:t>
      </w:r>
      <w:r>
        <w:t>šādas saistības</w:t>
      </w:r>
      <w:r w:rsidR="004511F0">
        <w:t xml:space="preserve"> to</w:t>
      </w:r>
      <w:r w:rsidRPr="00E001EC" w:rsidR="00E001EC">
        <w:t xml:space="preserve"> SAM 1.1.1. </w:t>
      </w:r>
      <w:r w:rsidR="004511F0">
        <w:t xml:space="preserve">pasākumu </w:t>
      </w:r>
      <w:r w:rsidRPr="00E001EC" w:rsidR="00E001EC">
        <w:t xml:space="preserve">ietvaros </w:t>
      </w:r>
      <w:r w:rsidR="00163694">
        <w:t xml:space="preserve">2023.gadā </w:t>
      </w:r>
      <w:r w:rsidRPr="00E001EC" w:rsidR="00E001EC">
        <w:t>sasniedzamā</w:t>
      </w:r>
      <w:r w:rsidRPr="008E3F65" w:rsidR="00E001EC">
        <w:t xml:space="preserve"> </w:t>
      </w:r>
      <w:r w:rsidR="00E001EC">
        <w:t>iznākuma rādītāja</w:t>
      </w:r>
      <w:r w:rsidR="004511F0">
        <w:t xml:space="preserve"> izpildē, kas sniedz tiešu ieguldījumu RIS3 mērķu sasniegšanā</w:t>
      </w:r>
      <w:r>
        <w:t>:</w:t>
      </w:r>
    </w:p>
    <w:p w:rsidR="006362AF" w:rsidRPr="005E6F16" w:rsidP="00124CD6" w14:paraId="7663D3DB" w14:textId="77777777">
      <w:pPr>
        <w:pStyle w:val="BulletF"/>
      </w:pPr>
      <w:r w:rsidRPr="00631282">
        <w:t>1</w:t>
      </w:r>
      <w:r w:rsidR="00346C99">
        <w:t>5</w:t>
      </w:r>
      <w:r w:rsidRPr="00631282">
        <w:t>%</w:t>
      </w:r>
      <w:r>
        <w:t xml:space="preserve"> no </w:t>
      </w:r>
      <w:r w:rsidR="00385E7D">
        <w:t>sasniedzamā</w:t>
      </w:r>
      <w:r w:rsidR="004511F0">
        <w:t>s</w:t>
      </w:r>
      <w:r w:rsidR="00385E7D">
        <w:t xml:space="preserve"> </w:t>
      </w:r>
      <w:r>
        <w:t>iznākuma rādītāja</w:t>
      </w:r>
      <w:r w:rsidR="00385E7D">
        <w:t xml:space="preserve"> –</w:t>
      </w:r>
      <w:r w:rsidRPr="00E001EC">
        <w:t xml:space="preserve"> </w:t>
      </w:r>
      <w:r w:rsidRPr="00E73DE6" w:rsidR="00E001EC">
        <w:rPr>
          <w:i/>
          <w:szCs w:val="21"/>
        </w:rPr>
        <w:t>jaunu pētnieku darba vietu (PLE izteiksmē) izveid</w:t>
      </w:r>
      <w:r w:rsidRPr="00E73DE6">
        <w:rPr>
          <w:i/>
        </w:rPr>
        <w:t>e</w:t>
      </w:r>
      <w:r w:rsidRPr="00E73DE6" w:rsidR="00E001EC">
        <w:rPr>
          <w:szCs w:val="21"/>
        </w:rPr>
        <w:t xml:space="preserve"> </w:t>
      </w:r>
      <w:r w:rsidR="00385E7D">
        <w:t xml:space="preserve">– </w:t>
      </w:r>
      <w:r w:rsidR="00E001EC">
        <w:t xml:space="preserve">vērtības </w:t>
      </w:r>
      <w:r w:rsidRPr="005E6F16" w:rsidR="00F73BB7">
        <w:rPr>
          <w:b/>
        </w:rPr>
        <w:t>(</w:t>
      </w:r>
      <w:r w:rsidRPr="005E6F16" w:rsidR="005E6F16">
        <w:rPr>
          <w:b/>
        </w:rPr>
        <w:fldChar w:fldCharType="begin"/>
      </w:r>
      <w:r w:rsidRPr="005E6F16" w:rsidR="005E6F16">
        <w:rPr>
          <w:b/>
        </w:rPr>
        <w:instrText xml:space="preserve"> REF _Ref494715172 \h </w:instrText>
      </w:r>
      <w:r w:rsidR="005E6F16">
        <w:rPr>
          <w:b/>
        </w:rPr>
        <w:instrText xml:space="preserve"> \* MERGEFORMAT </w:instrText>
      </w:r>
      <w:r w:rsidRPr="005E6F16" w:rsidR="005E6F16">
        <w:rPr>
          <w:b/>
        </w:rPr>
        <w:fldChar w:fldCharType="separate"/>
      </w:r>
      <w:r w:rsidRPr="004A0A1B" w:rsidR="004A0A1B">
        <w:rPr>
          <w:rStyle w:val="CaptionChar"/>
          <w:b w:val="0"/>
          <w:bCs w:val="0"/>
          <w:noProof/>
          <w:sz w:val="24"/>
          <w:szCs w:val="24"/>
        </w:rPr>
        <w:t>12.</w:t>
      </w:r>
      <w:r w:rsidR="004A0A1B">
        <w:t xml:space="preserve"> attēls</w:t>
      </w:r>
      <w:r w:rsidRPr="005E6F16" w:rsidR="005E6F16">
        <w:rPr>
          <w:b/>
        </w:rPr>
        <w:fldChar w:fldCharType="end"/>
      </w:r>
      <w:r w:rsidRPr="005E6F16">
        <w:t>);</w:t>
      </w:r>
    </w:p>
    <w:p w:rsidR="00163694" w:rsidRPr="00163694" w:rsidP="00124CD6" w14:paraId="6EC36427" w14:textId="77777777">
      <w:pPr>
        <w:pStyle w:val="BulletF"/>
      </w:pPr>
      <w:r>
        <w:t xml:space="preserve">23% </w:t>
      </w:r>
      <w:r>
        <w:t>no sasniedzamās iznākuma rādītāja –</w:t>
      </w:r>
      <w:r w:rsidRPr="00E001EC">
        <w:t xml:space="preserve"> </w:t>
      </w:r>
      <w:r w:rsidRPr="00163694">
        <w:t>privātās investīcijas, kas papildina valsts atbalstu inovācijām vai pētniecības un izstrādes projektiem</w:t>
      </w:r>
      <w:r w:rsidRPr="00163694">
        <w:rPr>
          <w:b/>
          <w:bCs/>
          <w:iCs/>
        </w:rPr>
        <w:t xml:space="preserve"> </w:t>
      </w:r>
      <w:r w:rsidRPr="00E001EC">
        <w:t xml:space="preserve"> </w:t>
      </w:r>
      <w:r>
        <w:t xml:space="preserve">– vērtības </w:t>
      </w:r>
      <w:r w:rsidRPr="003C0B53">
        <w:t>(</w:t>
      </w:r>
      <w:r w:rsidRPr="003C0B53">
        <w:fldChar w:fldCharType="begin"/>
      </w:r>
      <w:r w:rsidRPr="003C0B53">
        <w:instrText xml:space="preserve"> REF _Ref491182763 \h </w:instrText>
      </w:r>
      <w:r w:rsidRPr="003C0B53" w:rsidR="005352F3">
        <w:instrText xml:space="preserve"> \* MERGEFORMAT </w:instrText>
      </w:r>
      <w:r w:rsidRPr="003C0B53">
        <w:fldChar w:fldCharType="separate"/>
      </w:r>
      <w:r w:rsidR="004A0A1B">
        <w:rPr>
          <w:noProof/>
        </w:rPr>
        <w:t>15.</w:t>
      </w:r>
      <w:r w:rsidRPr="003C0B53">
        <w:fldChar w:fldCharType="end"/>
      </w:r>
      <w:r w:rsidRPr="003C0B53" w:rsidR="00E73DE6">
        <w:t xml:space="preserve"> </w:t>
      </w:r>
      <w:r w:rsidRPr="00E73DE6" w:rsidR="00E73DE6">
        <w:t>attēls</w:t>
      </w:r>
      <w:r w:rsidRPr="003C0B53">
        <w:t>);</w:t>
      </w:r>
    </w:p>
    <w:p w:rsidR="00F73BB7" w:rsidRPr="008E3F65" w:rsidP="00124CD6" w14:paraId="58E62613" w14:textId="77777777">
      <w:pPr>
        <w:pStyle w:val="BulletF"/>
      </w:pPr>
      <w:r>
        <w:t>70% no sasniedzamās iznākuma rādītāja –</w:t>
      </w:r>
      <w:r w:rsidRPr="00E001EC">
        <w:t xml:space="preserve"> </w:t>
      </w:r>
      <w:r w:rsidRPr="009210BC">
        <w:t>zinātniskie raksti, kas publicēti starptauti</w:t>
      </w:r>
      <w:r w:rsidR="00863F7F">
        <w:t>s</w:t>
      </w:r>
      <w:r w:rsidRPr="009210BC">
        <w:t>kās datubāzēs indeksētos žurnālos (</w:t>
      </w:r>
      <w:r w:rsidRPr="00E73DE6">
        <w:rPr>
          <w:i/>
        </w:rPr>
        <w:t>Scopus</w:t>
      </w:r>
      <w:r w:rsidR="00E73DE6">
        <w:rPr>
          <w:i/>
        </w:rPr>
        <w:t>;</w:t>
      </w:r>
      <w:r w:rsidRPr="00E73DE6">
        <w:rPr>
          <w:i/>
        </w:rPr>
        <w:t xml:space="preserve"> Web of Science</w:t>
      </w:r>
      <w:r w:rsidRPr="009210BC">
        <w:t>)</w:t>
      </w:r>
      <w:r w:rsidRPr="00163694">
        <w:rPr>
          <w:b/>
          <w:bCs/>
          <w:iCs/>
          <w:szCs w:val="21"/>
        </w:rPr>
        <w:t xml:space="preserve"> </w:t>
      </w:r>
      <w:r w:rsidRPr="00E001EC">
        <w:rPr>
          <w:szCs w:val="21"/>
        </w:rPr>
        <w:t xml:space="preserve"> </w:t>
      </w:r>
      <w:r>
        <w:t>– vērtības (</w:t>
      </w:r>
      <w:r>
        <w:fldChar w:fldCharType="begin"/>
      </w:r>
      <w:r>
        <w:instrText xml:space="preserve"> REF _Ref491265927 \h </w:instrText>
      </w:r>
      <w:r w:rsidR="005352F3">
        <w:instrText xml:space="preserve"> \* MERGEFORMAT </w:instrText>
      </w:r>
      <w:r>
        <w:fldChar w:fldCharType="separate"/>
      </w:r>
      <w:r w:rsidR="004A0A1B">
        <w:rPr>
          <w:noProof/>
        </w:rPr>
        <w:t>13.</w:t>
      </w:r>
      <w:r>
        <w:fldChar w:fldCharType="end"/>
      </w:r>
      <w:r w:rsidR="00E73DE6">
        <w:t xml:space="preserve"> attēls</w:t>
      </w:r>
      <w:r>
        <w:t>)</w:t>
      </w:r>
      <w:r w:rsidRPr="008E3F65">
        <w:t>.</w:t>
      </w:r>
    </w:p>
    <w:p w:rsidR="007A3E18" w:rsidRPr="007831B1" w:rsidP="00486A70" w14:paraId="104F9520" w14:textId="59EE69FE">
      <w:pPr>
        <w:pStyle w:val="Heading2"/>
      </w:pPr>
      <w:bookmarkStart w:id="93" w:name="_Toc494727607"/>
      <w:bookmarkStart w:id="94" w:name="_Toc499019520"/>
      <w:bookmarkStart w:id="95" w:name="_Toc505086376"/>
      <w:bookmarkStart w:id="96" w:name="_Toc256000014"/>
      <w:bookmarkStart w:id="97" w:name="_Toc256000041"/>
      <w:r>
        <w:t>2</w:t>
      </w:r>
      <w:r w:rsidR="007B1047">
        <w:t>.</w:t>
      </w:r>
      <w:r w:rsidR="004D7B4F">
        <w:t>4</w:t>
      </w:r>
      <w:r w:rsidR="007B1047">
        <w:t>. </w:t>
      </w:r>
      <w:r>
        <w:t>K</w:t>
      </w:r>
      <w:r w:rsidR="009372AA">
        <w:t>opīgo un specifisko</w:t>
      </w:r>
      <w:r>
        <w:t xml:space="preserve"> iznākuma rādītāju izpildes </w:t>
      </w:r>
      <w:r w:rsidR="007B1047">
        <w:t>analīze</w:t>
      </w:r>
      <w:bookmarkEnd w:id="97"/>
      <w:bookmarkEnd w:id="96"/>
      <w:bookmarkEnd w:id="93"/>
      <w:bookmarkEnd w:id="94"/>
      <w:bookmarkEnd w:id="95"/>
    </w:p>
    <w:p w:rsidR="007831B1" w:rsidRPr="00F77DD2" w:rsidP="007A3E18" w14:paraId="5818A784" w14:textId="149E3DF4">
      <w:r w:rsidRPr="007A3E18">
        <w:rPr>
          <w:szCs w:val="24"/>
          <w:lang w:eastAsia="zh-CN" w:bidi="lo-LA"/>
        </w:rPr>
        <w:t>Dat</w:t>
      </w:r>
      <w:r w:rsidR="0084412F">
        <w:rPr>
          <w:szCs w:val="24"/>
          <w:lang w:eastAsia="zh-CN" w:bidi="lo-LA"/>
        </w:rPr>
        <w:t>us</w:t>
      </w:r>
      <w:r w:rsidRPr="007A3E18">
        <w:rPr>
          <w:szCs w:val="24"/>
          <w:lang w:eastAsia="zh-CN" w:bidi="lo-LA"/>
        </w:rPr>
        <w:t xml:space="preserve"> par RIS3 mikro līmeņa rādītāju izpildes progresu, kas attiecas uz </w:t>
      </w:r>
      <w:r w:rsidRPr="007A3E18" w:rsidR="00A22F18">
        <w:rPr>
          <w:szCs w:val="24"/>
          <w:lang w:eastAsia="zh-CN" w:bidi="lo-LA"/>
        </w:rPr>
        <w:t>1.1.1.SAM pasākumiem</w:t>
      </w:r>
      <w:r w:rsidR="0084412F">
        <w:rPr>
          <w:szCs w:val="24"/>
          <w:lang w:eastAsia="zh-CN" w:bidi="lo-LA"/>
        </w:rPr>
        <w:t>,</w:t>
      </w:r>
      <w:r w:rsidRPr="007A3E18">
        <w:rPr>
          <w:szCs w:val="24"/>
          <w:lang w:eastAsia="zh-CN" w:bidi="lo-LA"/>
        </w:rPr>
        <w:t xml:space="preserve"> </w:t>
      </w:r>
      <w:r w:rsidRPr="007A3E18" w:rsidR="009133AD">
        <w:rPr>
          <w:szCs w:val="24"/>
          <w:lang w:eastAsia="zh-CN" w:bidi="lo-LA"/>
        </w:rPr>
        <w:t>iegūst</w:t>
      </w:r>
      <w:r w:rsidRPr="007A3E18">
        <w:rPr>
          <w:szCs w:val="24"/>
          <w:lang w:eastAsia="zh-CN" w:bidi="lo-LA"/>
        </w:rPr>
        <w:t xml:space="preserve"> no projektu pieteikumiem un to atskaitēm. </w:t>
      </w:r>
      <w:r w:rsidR="0084412F">
        <w:rPr>
          <w:szCs w:val="24"/>
          <w:lang w:eastAsia="zh-CN" w:bidi="lo-LA"/>
        </w:rPr>
        <w:t>Datus</w:t>
      </w:r>
      <w:r w:rsidRPr="007A3E18">
        <w:rPr>
          <w:szCs w:val="24"/>
          <w:lang w:eastAsia="zh-CN" w:bidi="lo-LA"/>
        </w:rPr>
        <w:t xml:space="preserve"> uzkrāj un apkopo institūcijas, kuras slēdz līgumus par attiecīgo </w:t>
      </w:r>
      <w:r w:rsidRPr="007A3E18" w:rsidR="00A22F18">
        <w:rPr>
          <w:szCs w:val="24"/>
          <w:lang w:eastAsia="zh-CN" w:bidi="lo-LA"/>
        </w:rPr>
        <w:t>pasākumu</w:t>
      </w:r>
      <w:r w:rsidRPr="007A3E18">
        <w:rPr>
          <w:szCs w:val="24"/>
          <w:lang w:eastAsia="zh-CN" w:bidi="lo-LA"/>
        </w:rPr>
        <w:t xml:space="preserve"> projektu īstenošanu – CFLA un VIAA. Datus vienlaikus uzkrāj tautsaimniecības nozaru </w:t>
      </w:r>
      <w:r w:rsidRPr="007A3E18" w:rsidR="00990ACC">
        <w:rPr>
          <w:szCs w:val="24"/>
          <w:lang w:eastAsia="zh-CN" w:bidi="lo-LA"/>
        </w:rPr>
        <w:t>(</w:t>
      </w:r>
      <w:r w:rsidRPr="007A3E18" w:rsidR="009133AD">
        <w:rPr>
          <w:szCs w:val="24"/>
          <w:lang w:eastAsia="zh-CN" w:bidi="lo-LA"/>
        </w:rPr>
        <w:t xml:space="preserve">saimniecisko darbību statistiskā klasifikācija NACE 2. red.) </w:t>
      </w:r>
      <w:r w:rsidRPr="007A3E18">
        <w:rPr>
          <w:szCs w:val="24"/>
          <w:lang w:eastAsia="zh-CN" w:bidi="lo-LA"/>
        </w:rPr>
        <w:t xml:space="preserve">un OECD zinātņu </w:t>
      </w:r>
      <w:r w:rsidR="008A60D0">
        <w:rPr>
          <w:szCs w:val="24"/>
          <w:lang w:eastAsia="zh-CN" w:bidi="lo-LA"/>
        </w:rPr>
        <w:t>apakš</w:t>
      </w:r>
      <w:r w:rsidRPr="007A3E18">
        <w:rPr>
          <w:szCs w:val="24"/>
          <w:lang w:eastAsia="zh-CN" w:bidi="lo-LA"/>
        </w:rPr>
        <w:t>nozaru</w:t>
      </w:r>
      <w:r>
        <w:rPr>
          <w:rStyle w:val="FootnoteReference"/>
          <w:rFonts w:eastAsia="SimSun" w:cs="Times New Roman"/>
          <w:szCs w:val="24"/>
          <w:lang w:eastAsia="zh-CN" w:bidi="lo-LA"/>
        </w:rPr>
        <w:footnoteReference w:id="10"/>
      </w:r>
      <w:r w:rsidRPr="007A3E18">
        <w:rPr>
          <w:szCs w:val="24"/>
          <w:lang w:eastAsia="zh-CN" w:bidi="lo-LA"/>
        </w:rPr>
        <w:t xml:space="preserve"> griezumā, </w:t>
      </w:r>
      <w:r w:rsidRPr="007A3E18">
        <w:rPr>
          <w:bCs/>
          <w:szCs w:val="24"/>
          <w:lang w:eastAsia="zh-CN" w:bidi="lo-LA"/>
        </w:rPr>
        <w:t xml:space="preserve">kas ļauj analizēt katras </w:t>
      </w:r>
      <w:r w:rsidRPr="007A3E18" w:rsidR="007A3E18">
        <w:rPr>
          <w:bCs/>
          <w:szCs w:val="24"/>
          <w:lang w:eastAsia="zh-CN" w:bidi="lo-LA"/>
        </w:rPr>
        <w:t>SAM</w:t>
      </w:r>
      <w:r w:rsidRPr="007A3E18">
        <w:rPr>
          <w:bCs/>
          <w:szCs w:val="24"/>
          <w:lang w:eastAsia="zh-CN" w:bidi="lo-LA"/>
        </w:rPr>
        <w:t xml:space="preserve"> </w:t>
      </w:r>
      <w:r w:rsidR="008A60D0">
        <w:rPr>
          <w:bCs/>
          <w:szCs w:val="24"/>
          <w:lang w:eastAsia="zh-CN" w:bidi="lo-LA"/>
        </w:rPr>
        <w:t xml:space="preserve">1.1.1. </w:t>
      </w:r>
      <w:r w:rsidRPr="007A3E18">
        <w:rPr>
          <w:bCs/>
          <w:szCs w:val="24"/>
          <w:lang w:eastAsia="zh-CN" w:bidi="lo-LA"/>
        </w:rPr>
        <w:t>programm</w:t>
      </w:r>
      <w:r w:rsidR="008A60D0">
        <w:rPr>
          <w:bCs/>
          <w:szCs w:val="24"/>
          <w:lang w:eastAsia="zh-CN" w:bidi="lo-LA"/>
        </w:rPr>
        <w:t>u</w:t>
      </w:r>
      <w:r w:rsidRPr="007A3E18">
        <w:rPr>
          <w:bCs/>
          <w:szCs w:val="24"/>
          <w:lang w:eastAsia="zh-CN" w:bidi="lo-LA"/>
        </w:rPr>
        <w:t xml:space="preserve"> ietekmi uz specializācijas jomu un tautsaimniecības nozaru attīstību.</w:t>
      </w:r>
      <w:r w:rsidR="00016A34">
        <w:rPr>
          <w:bCs/>
          <w:szCs w:val="24"/>
          <w:lang w:eastAsia="zh-CN" w:bidi="lo-LA"/>
        </w:rPr>
        <w:t xml:space="preserve"> </w:t>
      </w:r>
      <w:r w:rsidRPr="00F77DD2" w:rsidR="00016A34">
        <w:t xml:space="preserve">Detāla informācija par kopīgo un specifisko iznākuma rādītāju plānotajām </w:t>
      </w:r>
      <w:r w:rsidR="00207B3D">
        <w:t>vērtībām, pirmās kārtas ietvaros uzņemtajām saistībām</w:t>
      </w:r>
      <w:r>
        <w:rPr>
          <w:rStyle w:val="FootnoteReference"/>
        </w:rPr>
        <w:footnoteReference w:id="11"/>
      </w:r>
      <w:r w:rsidR="00040412">
        <w:t>, kas izriet no noslēgtajiem līgumiem (vienošanās) par pētniecības projektu īstenošanu,</w:t>
      </w:r>
      <w:r w:rsidR="00207B3D">
        <w:t xml:space="preserve"> </w:t>
      </w:r>
      <w:r w:rsidRPr="00F77DD2" w:rsidR="00016A34">
        <w:t>un aktuālajām vērtībām</w:t>
      </w:r>
      <w:r>
        <w:rPr>
          <w:rStyle w:val="FootnoteReference"/>
        </w:rPr>
        <w:footnoteReference w:id="12"/>
      </w:r>
      <w:r w:rsidRPr="00F77DD2" w:rsidR="00016A34">
        <w:t xml:space="preserve"> </w:t>
      </w:r>
      <w:r w:rsidR="005F6F46">
        <w:t>sniegta</w:t>
      </w:r>
      <w:r w:rsidRPr="00F77DD2" w:rsidR="00016A34">
        <w:t xml:space="preserve"> šī ziņojuma 1. pielikumā.</w:t>
      </w:r>
    </w:p>
    <w:p w:rsidR="000F7AF0" w:rsidRPr="007A3E18" w:rsidP="007A3E18" w14:paraId="44DF6A50" w14:textId="77777777">
      <w:pPr>
        <w:rPr>
          <w:rFonts w:eastAsia="Candara"/>
          <w:szCs w:val="24"/>
        </w:rPr>
      </w:pPr>
      <w:r>
        <w:rPr>
          <w:rStyle w:val="BulletsFChar"/>
          <w:lang w:eastAsia="zh-CN" w:bidi="lo-LA"/>
        </w:rPr>
        <w:t xml:space="preserve">SAM </w:t>
      </w:r>
      <w:r w:rsidRPr="00F4586B">
        <w:rPr>
          <w:rStyle w:val="BulletsFChar"/>
          <w:lang w:eastAsia="zh-CN" w:bidi="lo-LA"/>
        </w:rPr>
        <w:t>1.1.1. pasākum</w:t>
      </w:r>
      <w:r>
        <w:rPr>
          <w:rStyle w:val="BulletsFChar"/>
          <w:lang w:eastAsia="zh-CN" w:bidi="lo-LA"/>
        </w:rPr>
        <w:t>u</w:t>
      </w:r>
      <w:r w:rsidRPr="00F4586B">
        <w:rPr>
          <w:rStyle w:val="BulletsFChar"/>
          <w:lang w:eastAsia="zh-CN" w:bidi="lo-LA"/>
        </w:rPr>
        <w:t xml:space="preserve"> pirmās projektu iesniegumu atlases kārtas ietvaros </w:t>
      </w:r>
      <w:r w:rsidR="007B1047">
        <w:rPr>
          <w:rStyle w:val="BulletsFChar"/>
          <w:lang w:eastAsia="zh-CN" w:bidi="lo-LA"/>
        </w:rPr>
        <w:t xml:space="preserve">sagaidāmi </w:t>
      </w:r>
      <w:r w:rsidR="000E5EBA">
        <w:rPr>
          <w:rStyle w:val="BulletsFChar"/>
          <w:lang w:eastAsia="zh-CN" w:bidi="lo-LA"/>
        </w:rPr>
        <w:t xml:space="preserve">šādi </w:t>
      </w:r>
      <w:r w:rsidR="00BD19AD">
        <w:rPr>
          <w:rStyle w:val="BulletsFChar"/>
          <w:lang w:eastAsia="zh-CN" w:bidi="lo-LA"/>
        </w:rPr>
        <w:t xml:space="preserve">kopējie un specifiskie iznākuma </w:t>
      </w:r>
      <w:r w:rsidR="000E5EBA">
        <w:rPr>
          <w:rStyle w:val="BulletsFChar"/>
          <w:lang w:eastAsia="zh-CN" w:bidi="lo-LA"/>
        </w:rPr>
        <w:t>rādītāji</w:t>
      </w:r>
      <w:r w:rsidRPr="007A3E18">
        <w:rPr>
          <w:rFonts w:eastAsia="Candara"/>
          <w:szCs w:val="24"/>
        </w:rPr>
        <w:t>:</w:t>
      </w:r>
    </w:p>
    <w:p w:rsidR="00BA7D3C" w:rsidRPr="003C0B53" w:rsidP="00160F57" w14:paraId="49FE6677" w14:textId="77777777">
      <w:pPr>
        <w:pStyle w:val="ListParagraph"/>
        <w:rPr>
          <w:sz w:val="20"/>
        </w:rPr>
      </w:pPr>
      <w:r>
        <w:rPr>
          <w:rFonts w:eastAsia="Candara"/>
          <w:szCs w:val="24"/>
        </w:rPr>
        <w:t xml:space="preserve">1. </w:t>
      </w:r>
      <w:r w:rsidRPr="003C0B53">
        <w:t>jaunu pētnieku skaits atbalstītajās vienībās (pilnas slodzes ekvivalents) (i.1.1.1.bk (CO24))</w:t>
      </w:r>
      <w:r w:rsidRPr="003C0B53" w:rsidR="004D3AF2">
        <w:t xml:space="preserve"> </w:t>
      </w:r>
      <w:r w:rsidRPr="00E73DE6" w:rsidR="007E1981">
        <w:rPr>
          <w:b/>
        </w:rPr>
        <w:t>(</w:t>
      </w:r>
      <w:r w:rsidRPr="005E6F16" w:rsidR="005E6F16">
        <w:rPr>
          <w:b/>
          <w:szCs w:val="24"/>
        </w:rPr>
        <w:fldChar w:fldCharType="begin"/>
      </w:r>
      <w:r w:rsidRPr="005E6F16" w:rsidR="005E6F16">
        <w:rPr>
          <w:b/>
          <w:szCs w:val="24"/>
        </w:rPr>
        <w:instrText xml:space="preserve"> REF _Ref494715172 \h </w:instrText>
      </w:r>
      <w:r w:rsidR="005E6F16">
        <w:rPr>
          <w:b/>
        </w:rPr>
        <w:instrText xml:space="preserve"> \* MERGEFORMAT </w:instrText>
      </w:r>
      <w:r w:rsidRPr="005E6F16" w:rsidR="005E6F16">
        <w:rPr>
          <w:b/>
          <w:szCs w:val="24"/>
        </w:rPr>
        <w:fldChar w:fldCharType="separate"/>
      </w:r>
      <w:r w:rsidRPr="004A0A1B" w:rsidR="004A0A1B">
        <w:rPr>
          <w:rStyle w:val="CaptionChar"/>
          <w:b w:val="0"/>
          <w:color w:val="auto"/>
          <w:sz w:val="24"/>
        </w:rPr>
        <w:t>12.</w:t>
      </w:r>
      <w:r w:rsidR="004A0A1B">
        <w:t xml:space="preserve"> attēls</w:t>
      </w:r>
      <w:r w:rsidRPr="005E6F16" w:rsidR="005E6F16">
        <w:rPr>
          <w:b/>
          <w:szCs w:val="24"/>
        </w:rPr>
        <w:fldChar w:fldCharType="end"/>
      </w:r>
      <w:r w:rsidRPr="00B7288F" w:rsidR="007E1981">
        <w:rPr>
          <w:b/>
        </w:rPr>
        <w:t>)</w:t>
      </w:r>
      <w:r w:rsidRPr="003C0B53" w:rsidR="00B952B1">
        <w:t>:</w:t>
      </w:r>
    </w:p>
    <w:p w:rsidR="0086277D" w:rsidP="00124CD6" w14:paraId="3FADB02F" w14:textId="77777777">
      <w:pPr>
        <w:pStyle w:val="BulletF"/>
      </w:pPr>
      <w:r w:rsidRPr="001901B4">
        <w:t>1.1.1.1.pasākum</w:t>
      </w:r>
      <w:r>
        <w:t xml:space="preserve">s: </w:t>
      </w:r>
    </w:p>
    <w:p w:rsidR="0086277D" w:rsidP="00BD43FD" w14:paraId="054CC375" w14:textId="77777777">
      <w:pPr>
        <w:pStyle w:val="BulletA"/>
      </w:pPr>
      <w:r>
        <w:t xml:space="preserve">2023.gadā </w:t>
      </w:r>
      <w:r>
        <w:t>sasniedzamā vērtība</w:t>
      </w:r>
      <w:r w:rsidR="002A2F34">
        <w:t xml:space="preserve"> </w:t>
      </w:r>
      <w:r w:rsidR="00D93D1D">
        <w:t xml:space="preserve">– </w:t>
      </w:r>
      <w:r w:rsidR="00BD19AD">
        <w:t>306 PLE</w:t>
      </w:r>
      <w:r>
        <w:t>;</w:t>
      </w:r>
      <w:r w:rsidR="00BD19AD">
        <w:t xml:space="preserve"> </w:t>
      </w:r>
    </w:p>
    <w:p w:rsidR="0086277D" w:rsidP="00BD43FD" w14:paraId="6CF324CF" w14:textId="77777777">
      <w:pPr>
        <w:pStyle w:val="BulletA"/>
      </w:pPr>
      <w:r>
        <w:t>pirmās kārtas</w:t>
      </w:r>
      <w:r>
        <w:t xml:space="preserve"> ietvaros uzņemtās saistības – </w:t>
      </w:r>
      <w:r w:rsidRPr="00BD43FD" w:rsidR="00BD43FD">
        <w:t>42</w:t>
      </w:r>
      <w:r w:rsidRPr="00BD43FD" w:rsidR="00A35CC7">
        <w:t>,</w:t>
      </w:r>
      <w:r w:rsidRPr="00BD43FD" w:rsidR="00BD43FD">
        <w:t>63</w:t>
      </w:r>
      <w:r w:rsidRPr="00BD43FD" w:rsidR="00A35CC7">
        <w:t xml:space="preserve"> </w:t>
      </w:r>
      <w:r w:rsidR="00A35CC7">
        <w:t>PLE</w:t>
      </w:r>
      <w:r w:rsidR="00391B3F">
        <w:t>;</w:t>
      </w:r>
    </w:p>
    <w:p w:rsidR="00BD19AD" w:rsidRPr="00F77DD2" w:rsidP="00165B6D" w14:paraId="46D81A13" w14:textId="00362628">
      <w:pPr>
        <w:pStyle w:val="BulletA"/>
      </w:pPr>
      <w:r>
        <w:t>aktuālā vērtība</w:t>
      </w:r>
      <w:r w:rsidR="00D93D1D">
        <w:t xml:space="preserve"> –</w:t>
      </w:r>
      <w:r>
        <w:t xml:space="preserve"> </w:t>
      </w:r>
      <w:r w:rsidRPr="00F77DD2" w:rsidR="00262CD6">
        <w:t>3</w:t>
      </w:r>
      <w:r w:rsidRPr="00F77DD2" w:rsidR="00781C7F">
        <w:t>,</w:t>
      </w:r>
      <w:r w:rsidR="00D35EE4">
        <w:t>23</w:t>
      </w:r>
      <w:r w:rsidRPr="0097234F">
        <w:t xml:space="preserve"> PLE</w:t>
      </w:r>
      <w:r w:rsidR="00391B3F">
        <w:t xml:space="preserve"> (</w:t>
      </w:r>
      <w:r w:rsidR="00262CD6">
        <w:t>4</w:t>
      </w:r>
      <w:r w:rsidR="0097234F">
        <w:t>,</w:t>
      </w:r>
      <w:r w:rsidR="00D35EE4">
        <w:t>22</w:t>
      </w:r>
      <w:r w:rsidR="00737577">
        <w:t xml:space="preserve"> </w:t>
      </w:r>
      <w:r w:rsidR="00D93D1D">
        <w:t>% no 2018.gadā plānotās vērtības</w:t>
      </w:r>
      <w:r w:rsidR="00391B3F">
        <w:t>)</w:t>
      </w:r>
      <w:r w:rsidR="004A0AF3">
        <w:t xml:space="preserve">, </w:t>
      </w:r>
      <w:r w:rsidRPr="00F77DD2" w:rsidR="004A0AF3">
        <w:t>kas ietver vadošo pētnieku (0.14 PLE), pētnieku (1.12 PLE), zinātnisko asistentu (1.88 PLE) amata vietas, tajā skaitā 14 studējošo darba vietas</w:t>
      </w:r>
      <w:r w:rsidRPr="00F77DD2">
        <w:t>;</w:t>
      </w:r>
    </w:p>
    <w:p w:rsidR="00135FAE" w:rsidP="00124CD6" w14:paraId="6B6D34EC" w14:textId="77777777">
      <w:pPr>
        <w:pStyle w:val="BulletF"/>
      </w:pPr>
      <w:r w:rsidRPr="001901B4">
        <w:t>1.1.1.</w:t>
      </w:r>
      <w:r>
        <w:t>2</w:t>
      </w:r>
      <w:r w:rsidRPr="001901B4">
        <w:t>.pasākum</w:t>
      </w:r>
      <w:r>
        <w:t>s:</w:t>
      </w:r>
    </w:p>
    <w:p w:rsidR="00135FAE" w:rsidP="00BD43FD" w14:paraId="579442C3" w14:textId="77777777">
      <w:pPr>
        <w:pStyle w:val="BulletA"/>
      </w:pPr>
      <w:r>
        <w:t>2023.gadā sasniedzamā vērtība</w:t>
      </w:r>
      <w:r w:rsidR="002A2F34">
        <w:t xml:space="preserve"> </w:t>
      </w:r>
      <w:r>
        <w:t xml:space="preserve">– </w:t>
      </w:r>
      <w:r w:rsidR="00EE778C">
        <w:t>394</w:t>
      </w:r>
      <w:r>
        <w:t xml:space="preserve"> PLE; </w:t>
      </w:r>
    </w:p>
    <w:p w:rsidR="00135FAE" w:rsidP="00BD43FD" w14:paraId="6DD20496" w14:textId="42979376">
      <w:pPr>
        <w:pStyle w:val="BulletA"/>
      </w:pPr>
      <w:r>
        <w:t>pirmās kārtas</w:t>
      </w:r>
      <w:r>
        <w:t xml:space="preserve"> ietvaros uzņemtās saistības –</w:t>
      </w:r>
      <w:r w:rsidR="002A2F34">
        <w:t xml:space="preserve"> </w:t>
      </w:r>
      <w:r w:rsidR="000C033C">
        <w:t>124</w:t>
      </w:r>
      <w:r w:rsidR="007A6F62">
        <w:t xml:space="preserve"> </w:t>
      </w:r>
      <w:r>
        <w:t>PLE</w:t>
      </w:r>
      <w:r w:rsidR="00391B3F">
        <w:t>;</w:t>
      </w:r>
    </w:p>
    <w:p w:rsidR="00135FAE" w:rsidP="00BD43FD" w14:paraId="2D06CEDA" w14:textId="4A7CFBD8">
      <w:pPr>
        <w:pStyle w:val="BulletA"/>
      </w:pPr>
      <w:r>
        <w:t xml:space="preserve">aktuālā vērtība – </w:t>
      </w:r>
      <w:r w:rsidR="009F5F09">
        <w:t>5</w:t>
      </w:r>
      <w:r w:rsidRPr="007A6F62">
        <w:t xml:space="preserve"> PLE</w:t>
      </w:r>
      <w:r>
        <w:t>;</w:t>
      </w:r>
    </w:p>
    <w:p w:rsidR="008025D0" w:rsidRPr="009F4FE8" w:rsidP="005C1FB9" w14:paraId="4CEA60A9" w14:textId="284BC480">
      <w:pPr>
        <w:jc w:val="center"/>
        <w:rPr>
          <w:lang w:eastAsia="lv-LV"/>
        </w:rPr>
      </w:pPr>
      <w:r>
        <w:rPr>
          <w:noProof/>
          <w:lang w:eastAsia="lv-LV"/>
        </w:rPr>
        <w:drawing>
          <wp:inline distT="0" distB="0" distL="0" distR="0">
            <wp:extent cx="5314315" cy="1045028"/>
            <wp:effectExtent l="0" t="0" r="635"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4FD4" w:rsidP="00AF4FD4" w14:paraId="4C6D54D7" w14:textId="77777777">
      <w:pPr>
        <w:pStyle w:val="Caption"/>
      </w:pPr>
      <w:bookmarkStart w:id="98" w:name="_Ref494715172"/>
      <w:r>
        <w:rPr>
          <w:rStyle w:val="CaptionChar"/>
          <w:b/>
          <w:bCs/>
        </w:rPr>
        <w:fldChar w:fldCharType="begin"/>
      </w:r>
      <w:r>
        <w:rPr>
          <w:rStyle w:val="CaptionChar"/>
          <w:b/>
          <w:bCs/>
        </w:rPr>
        <w:instrText xml:space="preserve"> SEQ attēls \* ARABIC </w:instrText>
      </w:r>
      <w:r>
        <w:rPr>
          <w:rStyle w:val="CaptionChar"/>
          <w:b/>
          <w:bCs/>
        </w:rPr>
        <w:fldChar w:fldCharType="separate"/>
      </w:r>
      <w:r>
        <w:rPr>
          <w:rStyle w:val="CaptionChar"/>
          <w:b/>
          <w:bCs/>
        </w:rPr>
        <w:t>12</w:t>
      </w:r>
      <w:r>
        <w:rPr>
          <w:rStyle w:val="CaptionChar"/>
          <w:b/>
          <w:bCs/>
        </w:rPr>
        <w:fldChar w:fldCharType="end"/>
      </w:r>
      <w:r w:rsidRPr="003F3FD4">
        <w:t>.</w:t>
      </w:r>
      <w:r w:rsidR="00C725DB">
        <w:t xml:space="preserve"> </w:t>
      </w:r>
      <w:r>
        <w:t>attēls</w:t>
      </w:r>
      <w:bookmarkEnd w:id="98"/>
      <w:r w:rsidRPr="003F3FD4">
        <w:rPr>
          <w:rStyle w:val="CaptionChar"/>
          <w:b/>
          <w:bCs/>
        </w:rPr>
        <w:t xml:space="preserve">. </w:t>
      </w:r>
      <w:r w:rsidRPr="003F3FD4">
        <w:t xml:space="preserve">SAM 1.1.1. pasākumu </w:t>
      </w:r>
      <w:r w:rsidR="00A93B13">
        <w:t>ietvaros uzņemtās saistības iznākuma rādītāja</w:t>
      </w:r>
      <w:r w:rsidRPr="003F3FD4">
        <w:t xml:space="preserve"> – </w:t>
      </w:r>
      <w:r w:rsidRPr="00A93B13" w:rsidR="00A93B13">
        <w:rPr>
          <w:i/>
          <w:iCs/>
        </w:rPr>
        <w:t xml:space="preserve">jaunu pētnieku darba vietu (PLE izteiksmē) izveide </w:t>
      </w:r>
      <w:r w:rsidRPr="003F3FD4">
        <w:t xml:space="preserve"> – izpildē</w:t>
      </w:r>
    </w:p>
    <w:p w:rsidR="000E5EBA" w:rsidP="00160F57" w14:paraId="195CA2D6" w14:textId="77777777">
      <w:pPr>
        <w:pStyle w:val="ListParagraph"/>
        <w:rPr>
          <w:lang w:bidi="lo-LA"/>
        </w:rPr>
      </w:pPr>
      <w:r w:rsidRPr="007A3E18">
        <w:rPr>
          <w:rFonts w:eastAsia="Candara"/>
          <w:szCs w:val="24"/>
        </w:rPr>
        <w:t>2. </w:t>
      </w:r>
      <w:r>
        <w:rPr>
          <w:lang w:bidi="lo-LA"/>
        </w:rPr>
        <w:t>z</w:t>
      </w:r>
      <w:r w:rsidRPr="00A73FEB">
        <w:rPr>
          <w:lang w:bidi="lo-LA"/>
        </w:rPr>
        <w:t>inātnisko rakstu skaits, kuru izstrādei un publicēšanai ir sniegts atbalsts (i.1.1.1.e)</w:t>
      </w:r>
      <w:r>
        <w:rPr>
          <w:lang w:bidi="lo-LA"/>
        </w:rPr>
        <w:t>:</w:t>
      </w:r>
    </w:p>
    <w:p w:rsidR="00A35CC7" w:rsidP="00124CD6" w14:paraId="11DFA058" w14:textId="77777777">
      <w:pPr>
        <w:pStyle w:val="BulletF"/>
      </w:pPr>
      <w:r>
        <w:t>1.1.1.1. pasākum</w:t>
      </w:r>
      <w:r w:rsidR="001901B4">
        <w:t>s:</w:t>
      </w:r>
      <w:r>
        <w:t xml:space="preserve"> </w:t>
      </w:r>
    </w:p>
    <w:p w:rsidR="00A35CC7" w:rsidP="00BD43FD" w14:paraId="4B171713" w14:textId="77777777">
      <w:pPr>
        <w:pStyle w:val="BulletA"/>
      </w:pPr>
      <w:r>
        <w:t xml:space="preserve">2023.gadā sasniedzamā vērtība – </w:t>
      </w:r>
      <w:r w:rsidRPr="00A012BD">
        <w:t>192</w:t>
      </w:r>
      <w:r>
        <w:t xml:space="preserve"> zinātniskie raksti; </w:t>
      </w:r>
    </w:p>
    <w:p w:rsidR="00A35CC7" w:rsidP="00BD43FD" w14:paraId="4FDD1C34" w14:textId="77777777">
      <w:pPr>
        <w:pStyle w:val="BulletA"/>
      </w:pPr>
      <w:r>
        <w:t>pirmās kārtas</w:t>
      </w:r>
      <w:r>
        <w:t xml:space="preserve"> ietvaros uzņemtās saistības – </w:t>
      </w:r>
      <w:r w:rsidR="007A6F62">
        <w:t xml:space="preserve">482 </w:t>
      </w:r>
      <w:r>
        <w:t>zinātniskie raksti;</w:t>
      </w:r>
    </w:p>
    <w:p w:rsidR="00A35CC7" w:rsidP="00BD43FD" w14:paraId="708FCABC" w14:textId="4D592C88">
      <w:pPr>
        <w:pStyle w:val="BulletA"/>
      </w:pPr>
      <w:r>
        <w:t xml:space="preserve">aktuālā vērtība – </w:t>
      </w:r>
      <w:r w:rsidR="00C237D9">
        <w:t>31</w:t>
      </w:r>
      <w:r w:rsidR="00707B2B">
        <w:t xml:space="preserve"> </w:t>
      </w:r>
      <w:r>
        <w:t xml:space="preserve">zinātniskie raksti, kas </w:t>
      </w:r>
      <w:r w:rsidR="005F61D6">
        <w:t xml:space="preserve">veido </w:t>
      </w:r>
      <w:r w:rsidR="00C237D9">
        <w:t>106,9</w:t>
      </w:r>
      <w:r w:rsidR="00707B2B">
        <w:t xml:space="preserve"> </w:t>
      </w:r>
      <w:r>
        <w:t>% no 2018.gadā plānotās vērtības;</w:t>
      </w:r>
    </w:p>
    <w:p w:rsidR="000E5EBA" w:rsidP="00124CD6" w14:paraId="576171F3" w14:textId="77777777">
      <w:pPr>
        <w:pStyle w:val="BulletF"/>
        <w:rPr>
          <w:color w:val="9D3511" w:themeColor="accent1" w:themeShade="BF"/>
        </w:rPr>
      </w:pPr>
      <w:r>
        <w:t>1.1.1.2. pasākum</w:t>
      </w:r>
      <w:r w:rsidR="001901B4">
        <w:t>s</w:t>
      </w:r>
      <w:r w:rsidR="009372AA">
        <w:t>:</w:t>
      </w:r>
    </w:p>
    <w:p w:rsidR="009372AA" w:rsidP="00BD43FD" w14:paraId="505D6798" w14:textId="77777777">
      <w:pPr>
        <w:pStyle w:val="BulletA"/>
      </w:pPr>
      <w:r>
        <w:t xml:space="preserve">2023.gadā sasniedzamā vērtība – 1280 zinātniskie raksti; </w:t>
      </w:r>
    </w:p>
    <w:p w:rsidR="009372AA" w:rsidP="00BD43FD" w14:paraId="2A5C16C6" w14:textId="09B288A8">
      <w:pPr>
        <w:pStyle w:val="BulletA"/>
      </w:pPr>
      <w:r>
        <w:t>pirmās kārtas</w:t>
      </w:r>
      <w:r>
        <w:t xml:space="preserve"> ietvaros uzņemtās saistības – </w:t>
      </w:r>
      <w:r w:rsidR="00C233C1">
        <w:t>488</w:t>
      </w:r>
      <w:r>
        <w:t xml:space="preserve"> zinātniskie raksti;</w:t>
      </w:r>
    </w:p>
    <w:p w:rsidR="009372AA" w:rsidP="00BD43FD" w14:paraId="29E27AA1" w14:textId="77777777">
      <w:pPr>
        <w:pStyle w:val="BulletA"/>
      </w:pPr>
      <w:r>
        <w:t>aktuālā vērtība – 0 zinātniskie raksti;</w:t>
      </w:r>
    </w:p>
    <w:p w:rsidR="005754D1" w:rsidP="00FE0BBC" w14:paraId="1050FBF7" w14:textId="2E75FDE6">
      <w:pPr>
        <w:jc w:val="center"/>
      </w:pPr>
      <w:r>
        <w:rPr>
          <w:noProof/>
          <w:lang w:eastAsia="lv-LV"/>
        </w:rPr>
        <w:drawing>
          <wp:inline distT="0" distB="0" distL="0" distR="0">
            <wp:extent cx="5292090" cy="1175657"/>
            <wp:effectExtent l="0" t="0" r="3810" b="571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0BBC" w:rsidRPr="00FE0BBC" w:rsidP="00FE0BBC" w14:paraId="0F62FCE4" w14:textId="77777777">
      <w:pPr>
        <w:pStyle w:val="Caption"/>
      </w:pPr>
      <w:bookmarkStart w:id="99" w:name="_Ref491265927"/>
      <w:r>
        <w:fldChar w:fldCharType="begin"/>
      </w:r>
      <w:r>
        <w:instrText xml:space="preserve"> SEQ attēls \* ARABIC </w:instrText>
      </w:r>
      <w:r>
        <w:fldChar w:fldCharType="separate"/>
      </w:r>
      <w:r>
        <w:t>13</w:t>
      </w:r>
      <w:r>
        <w:fldChar w:fldCharType="end"/>
      </w:r>
      <w:r w:rsidRPr="00385E7D">
        <w:t>.</w:t>
      </w:r>
      <w:bookmarkEnd w:id="99"/>
      <w:r w:rsidR="00C725DB">
        <w:t xml:space="preserve"> </w:t>
      </w:r>
      <w:r>
        <w:t>attēls</w:t>
      </w:r>
      <w:r w:rsidRPr="00385E7D">
        <w:t xml:space="preserve">. </w:t>
      </w:r>
      <w:r w:rsidRPr="00FE0BBC">
        <w:t xml:space="preserve">SAM 1.1.1. pirmās kārtas projektu ietvaros uzņemtās saistības iznākuma rādītāja - </w:t>
      </w:r>
      <w:r w:rsidRPr="00FE0BBC">
        <w:rPr>
          <w:i/>
          <w:iCs/>
        </w:rPr>
        <w:t xml:space="preserve">Zinātnisko rakstu skaits, kuru izstrādei un publicēšanai ir sniegts atbalsts- </w:t>
      </w:r>
      <w:r w:rsidRPr="00FE0BBC">
        <w:t>izpildē</w:t>
      </w:r>
    </w:p>
    <w:p w:rsidR="009372AA" w:rsidP="00160F57" w14:paraId="638C7DC9" w14:textId="77777777">
      <w:pPr>
        <w:pStyle w:val="ListParagraph"/>
      </w:pPr>
      <w:r>
        <w:t>3</w:t>
      </w:r>
      <w:r w:rsidRPr="009372AA">
        <w:t>. jauno produktu un tehnoloģiju skaits, kas ir komercializējami un kuru izstrādei sniegts atbalsts (i.1.1.1.g)</w:t>
      </w:r>
      <w:r w:rsidR="00471A50">
        <w:t xml:space="preserve"> (</w:t>
      </w:r>
      <w:r w:rsidR="00471A50">
        <w:fldChar w:fldCharType="begin"/>
      </w:r>
      <w:r w:rsidR="00471A50">
        <w:instrText xml:space="preserve"> REF _Ref491261243 \h </w:instrText>
      </w:r>
      <w:r w:rsidR="00471A50">
        <w:fldChar w:fldCharType="separate"/>
      </w:r>
      <w:r>
        <w:t>14</w:t>
      </w:r>
      <w:r w:rsidRPr="00385E7D" w:rsidR="00471A50">
        <w:t>.</w:t>
      </w:r>
      <w:r w:rsidR="00471A50">
        <w:t xml:space="preserve"> </w:t>
      </w:r>
      <w:r w:rsidR="00471A50">
        <w:fldChar w:fldCharType="end"/>
      </w:r>
      <w:r w:rsidR="004D3AF2">
        <w:t>attēls</w:t>
      </w:r>
      <w:r w:rsidR="00471A50">
        <w:t>)</w:t>
      </w:r>
      <w:r>
        <w:t>:</w:t>
      </w:r>
    </w:p>
    <w:p w:rsidR="009372AA" w:rsidP="00124CD6" w14:paraId="1FC26263" w14:textId="77777777">
      <w:pPr>
        <w:pStyle w:val="BulletF"/>
      </w:pPr>
      <w:r>
        <w:t xml:space="preserve">1.1.1.1. pasākums: </w:t>
      </w:r>
    </w:p>
    <w:p w:rsidR="009372AA" w:rsidP="00BD43FD" w14:paraId="7F4525AF" w14:textId="77777777">
      <w:pPr>
        <w:pStyle w:val="BulletA"/>
      </w:pPr>
      <w:r>
        <w:t>2023.gadā sasniedzamā vērtība – 114 jaun</w:t>
      </w:r>
      <w:r w:rsidR="00135FAE">
        <w:t>i</w:t>
      </w:r>
      <w:r>
        <w:t xml:space="preserve"> produkt</w:t>
      </w:r>
      <w:r w:rsidR="00135FAE">
        <w:t>i/tehnoloģijas</w:t>
      </w:r>
      <w:r>
        <w:t xml:space="preserve">; </w:t>
      </w:r>
    </w:p>
    <w:p w:rsidR="009372AA" w:rsidP="00BD43FD" w14:paraId="1AC3B3D8" w14:textId="77777777">
      <w:pPr>
        <w:pStyle w:val="BulletA"/>
      </w:pPr>
      <w:r>
        <w:t>pirmās kārtas</w:t>
      </w:r>
      <w:r>
        <w:t xml:space="preserve"> ietvaros uzņemtās saistības – </w:t>
      </w:r>
      <w:r w:rsidR="00471A50">
        <w:t>99</w:t>
      </w:r>
      <w:r>
        <w:t xml:space="preserve"> </w:t>
      </w:r>
      <w:r w:rsidR="00135FAE">
        <w:t>jauni produkti/tehnoloģijas</w:t>
      </w:r>
      <w:r>
        <w:t>;</w:t>
      </w:r>
    </w:p>
    <w:p w:rsidR="009372AA" w:rsidP="00BD43FD" w14:paraId="60D73651" w14:textId="77777777">
      <w:pPr>
        <w:pStyle w:val="BulletA"/>
      </w:pPr>
      <w:r>
        <w:t xml:space="preserve">aktuālā vērtība – </w:t>
      </w:r>
      <w:r w:rsidR="006036E0">
        <w:t>divi</w:t>
      </w:r>
      <w:r>
        <w:t xml:space="preserve"> </w:t>
      </w:r>
      <w:r w:rsidR="00135FAE">
        <w:t>jaun</w:t>
      </w:r>
      <w:r w:rsidR="006036E0">
        <w:t>i</w:t>
      </w:r>
      <w:r w:rsidR="00135FAE">
        <w:t xml:space="preserve"> produkt</w:t>
      </w:r>
      <w:r w:rsidR="006036E0">
        <w:t>i</w:t>
      </w:r>
      <w:r>
        <w:t xml:space="preserve">, kas </w:t>
      </w:r>
      <w:r w:rsidR="005F61D6">
        <w:t xml:space="preserve">veido </w:t>
      </w:r>
      <w:r w:rsidR="006036E0">
        <w:t>5,4</w:t>
      </w:r>
      <w:r>
        <w:t xml:space="preserve"> % no 2018.gadā plānotās vērtības;</w:t>
      </w:r>
    </w:p>
    <w:p w:rsidR="009372AA" w:rsidP="00124CD6" w14:paraId="3B4B9AE4" w14:textId="77777777">
      <w:pPr>
        <w:pStyle w:val="BulletF"/>
      </w:pPr>
      <w:r>
        <w:t>1.1.1.</w:t>
      </w:r>
      <w:r w:rsidR="00135FAE">
        <w:t>2</w:t>
      </w:r>
      <w:r>
        <w:t xml:space="preserve">. pasākums: </w:t>
      </w:r>
    </w:p>
    <w:p w:rsidR="00135FAE" w:rsidP="00BD43FD" w14:paraId="5E81F205" w14:textId="77777777">
      <w:pPr>
        <w:pStyle w:val="BulletA"/>
      </w:pPr>
      <w:r>
        <w:t xml:space="preserve">2023.gadā sasniedzamā vērtība – 416 jauni produkti/tehnoloģijas; </w:t>
      </w:r>
    </w:p>
    <w:p w:rsidR="00135FAE" w:rsidP="00BD43FD" w14:paraId="3A2E97D0" w14:textId="75774DDB">
      <w:pPr>
        <w:pStyle w:val="BulletA"/>
      </w:pPr>
      <w:r>
        <w:t>pirmās kārtas</w:t>
      </w:r>
      <w:r>
        <w:t xml:space="preserve"> ietvaros uzņemtās saistības – </w:t>
      </w:r>
      <w:r w:rsidR="00C233C1">
        <w:t>90</w:t>
      </w:r>
      <w:r w:rsidR="007A6F62">
        <w:t xml:space="preserve"> </w:t>
      </w:r>
      <w:r>
        <w:t>jauni produkti/tehnoloģijas;</w:t>
      </w:r>
    </w:p>
    <w:p w:rsidR="00135FAE" w:rsidP="00BD43FD" w14:paraId="2882D2EB" w14:textId="77777777">
      <w:pPr>
        <w:pStyle w:val="BulletA"/>
      </w:pPr>
      <w:r>
        <w:t>aktuālā vērtība – 0;</w:t>
      </w:r>
    </w:p>
    <w:p w:rsidR="00950F6C" w:rsidRPr="00AF5D7E" w:rsidP="00C725DB" w14:paraId="4266CF2A" w14:textId="5D040153">
      <w:pPr>
        <w:jc w:val="center"/>
      </w:pPr>
      <w:r>
        <w:rPr>
          <w:noProof/>
          <w:lang w:eastAsia="lv-LV"/>
        </w:rPr>
        <w:drawing>
          <wp:inline distT="0" distB="0" distL="0" distR="0">
            <wp:extent cx="5292090" cy="984380"/>
            <wp:effectExtent l="0" t="0" r="3810" b="63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71A50" w:rsidRPr="005F2C4D" w:rsidP="00471A50" w14:paraId="2A99546D" w14:textId="77777777">
      <w:pPr>
        <w:pStyle w:val="Caption"/>
      </w:pPr>
      <w:bookmarkStart w:id="100" w:name="_Ref491261243"/>
      <w:r>
        <w:fldChar w:fldCharType="begin"/>
      </w:r>
      <w:r>
        <w:instrText xml:space="preserve"> SEQ attēls \* ARABIC </w:instrText>
      </w:r>
      <w:r>
        <w:fldChar w:fldCharType="separate"/>
      </w:r>
      <w:r>
        <w:t>14</w:t>
      </w:r>
      <w:r>
        <w:fldChar w:fldCharType="end"/>
      </w:r>
      <w:r w:rsidRPr="00385E7D">
        <w:t>.</w:t>
      </w:r>
      <w:r>
        <w:t xml:space="preserve"> </w:t>
      </w:r>
      <w:bookmarkEnd w:id="100"/>
      <w:r>
        <w:t>attēls</w:t>
      </w:r>
      <w:r w:rsidRPr="00385E7D">
        <w:t xml:space="preserve">. </w:t>
      </w:r>
      <w:r w:rsidRPr="005F2C4D">
        <w:t xml:space="preserve">SAM 1.1.1. pirmās kārtas projektu ietvaros uzņemtās saistības iznākuma rādītāja - </w:t>
      </w:r>
      <w:r w:rsidRPr="00471A50">
        <w:rPr>
          <w:i/>
          <w:iCs/>
        </w:rPr>
        <w:t>Jauno produktu un tehnoloģiju skaits, kas ir komercializējami un kuru izstrādei sniegts atbalsts</w:t>
      </w:r>
      <w:r>
        <w:rPr>
          <w:i/>
          <w:iCs/>
        </w:rPr>
        <w:t xml:space="preserve"> </w:t>
      </w:r>
      <w:r w:rsidRPr="00471A50">
        <w:rPr>
          <w:i/>
          <w:iCs/>
        </w:rPr>
        <w:t xml:space="preserve">- </w:t>
      </w:r>
      <w:r w:rsidRPr="00471A50">
        <w:rPr>
          <w:iCs/>
        </w:rPr>
        <w:t>izpildē</w:t>
      </w:r>
    </w:p>
    <w:p w:rsidR="004D7EC4" w:rsidRPr="00BD43FD" w:rsidP="00160F57" w14:paraId="5748B11D" w14:textId="77777777">
      <w:pPr>
        <w:pStyle w:val="ListParagraph"/>
      </w:pPr>
      <w:r w:rsidRPr="00BD43FD">
        <w:rPr>
          <w:rFonts w:eastAsia="Candara"/>
          <w:szCs w:val="24"/>
        </w:rPr>
        <w:t>3.1. </w:t>
      </w:r>
      <w:r w:rsidRPr="00BD43FD" w:rsidR="009372AA">
        <w:t>jauna produkta vai tehnoloģijas prototips (PUD 1.1.1.d)</w:t>
      </w:r>
      <w:r w:rsidRPr="00BD43FD" w:rsidR="00BD43FD">
        <w:t xml:space="preserve">: </w:t>
      </w:r>
      <w:r w:rsidR="001E63D3">
        <w:t>Praktiskas ievirzes pētījumu programmas</w:t>
      </w:r>
      <w:r w:rsidRPr="00BD43FD" w:rsidR="00BD43FD">
        <w:t xml:space="preserve"> pirmās kārtas ietvaros uzņemtās saistības</w:t>
      </w:r>
      <w:r w:rsidR="00BD43FD">
        <w:t xml:space="preserve"> – 159 prototipi. Ņemot vērā, ka pasākuma pirmās kārtas ietvaros plānots iegūt 64 tehnoloģiju tiesības</w:t>
      </w:r>
      <w:r w:rsidR="00471A50">
        <w:t xml:space="preserve"> un slēgt 30 intelektuālā īpašuma licences līgumus</w:t>
      </w:r>
      <w:r w:rsidR="00BD43FD">
        <w:t xml:space="preserve">, secināms, ka projektu ietvaros izstrādātājiem produktu prototipiem netiek plānota augsta tehnoloģiju gatavības pakāpe (TRL); </w:t>
      </w:r>
    </w:p>
    <w:p w:rsidR="009372AA" w:rsidP="00160F57" w14:paraId="1ABF855F" w14:textId="77777777">
      <w:pPr>
        <w:pStyle w:val="ListParagraph"/>
      </w:pPr>
      <w:r w:rsidRPr="00BD43FD">
        <w:t>3.2.</w:t>
      </w:r>
      <w:r w:rsidRPr="00BD43FD">
        <w:t> jauna ārstniecības un diagnostikas metode (t.sk. nekomercializējama metode)</w:t>
      </w:r>
      <w:r w:rsidR="00BD43FD">
        <w:t xml:space="preserve"> </w:t>
      </w:r>
      <w:r w:rsidRPr="00BD43FD">
        <w:t>(PUD 1.1.1.e):</w:t>
      </w:r>
      <w:r w:rsidR="00BD43FD">
        <w:t xml:space="preserve"> </w:t>
      </w:r>
      <w:r w:rsidR="001E63D3">
        <w:t>Praktiskas ievirzes pētījumu programmas</w:t>
      </w:r>
      <w:r w:rsidRPr="00BD43FD" w:rsidR="00BD43FD">
        <w:t xml:space="preserve"> pirmās kārtas ietvaros uzņemtās saistības</w:t>
      </w:r>
      <w:r w:rsidR="00BD43FD">
        <w:t xml:space="preserve"> – 17 metodes;</w:t>
      </w:r>
    </w:p>
    <w:p w:rsidR="003B6FE2" w:rsidP="00160F57" w14:paraId="406C4D33" w14:textId="77777777">
      <w:pPr>
        <w:pStyle w:val="ListParagraph"/>
        <w:rPr>
          <w:lang w:bidi="lo-LA"/>
        </w:rPr>
      </w:pPr>
      <w:r>
        <w:rPr>
          <w:rFonts w:eastAsia="Candara"/>
        </w:rPr>
        <w:t>4</w:t>
      </w:r>
      <w:r w:rsidRPr="007A3E18">
        <w:rPr>
          <w:rFonts w:eastAsia="Candara"/>
        </w:rPr>
        <w:t>. </w:t>
      </w:r>
      <w:r w:rsidRPr="007A3E18">
        <w:rPr>
          <w:lang w:bidi="lo-LA"/>
        </w:rPr>
        <w:t>privātās investīcijas, kas papildina valsts atbalstu inovācijām vai pētniecības un izstrādes projektiem (i.1.1.1.f)</w:t>
      </w:r>
      <w:r w:rsidR="005467B1">
        <w:rPr>
          <w:lang w:bidi="lo-LA"/>
        </w:rPr>
        <w:t>:</w:t>
      </w:r>
    </w:p>
    <w:p w:rsidR="004D650E" w:rsidP="00124CD6" w14:paraId="15DA8681" w14:textId="77777777">
      <w:pPr>
        <w:pStyle w:val="BulletF"/>
      </w:pPr>
      <w:r w:rsidRPr="001901B4">
        <w:t>1.1.1.1.pasākum</w:t>
      </w:r>
      <w:r>
        <w:t>s:</w:t>
      </w:r>
      <w:r w:rsidRPr="001901B4">
        <w:t xml:space="preserve"> </w:t>
      </w:r>
    </w:p>
    <w:p w:rsidR="008012B5" w:rsidP="00BD43FD" w14:paraId="7B66C8B1" w14:textId="77777777">
      <w:pPr>
        <w:pStyle w:val="BulletA"/>
      </w:pPr>
      <w:r>
        <w:t xml:space="preserve">2023.gadā sasniedzamā vērtība </w:t>
      </w:r>
      <w:r>
        <w:t xml:space="preserve">– </w:t>
      </w:r>
      <w:r w:rsidRPr="008012B5">
        <w:t>9,6</w:t>
      </w:r>
      <w:r>
        <w:t xml:space="preserve"> </w:t>
      </w:r>
      <w:r w:rsidRPr="008012B5">
        <w:t>MEUR</w:t>
      </w:r>
      <w:r>
        <w:t>;</w:t>
      </w:r>
    </w:p>
    <w:p w:rsidR="004D7EC4" w:rsidP="00BD43FD" w14:paraId="312E3998" w14:textId="77777777">
      <w:pPr>
        <w:pStyle w:val="BulletA"/>
      </w:pPr>
      <w:r>
        <w:t>pirmās kārtas</w:t>
      </w:r>
      <w:r>
        <w:t xml:space="preserve"> ietvaros uzņemtās saistības – </w:t>
      </w:r>
      <w:r w:rsidRPr="001901B4">
        <w:t>2,6 MEUR</w:t>
      </w:r>
      <w:r>
        <w:t>;</w:t>
      </w:r>
    </w:p>
    <w:p w:rsidR="004D7EC4" w:rsidP="00BD43FD" w14:paraId="55644978" w14:textId="28779DEF">
      <w:pPr>
        <w:pStyle w:val="BulletA"/>
      </w:pPr>
      <w:r>
        <w:t xml:space="preserve">aktuālā vērtība – </w:t>
      </w:r>
      <w:r w:rsidR="001B32BB">
        <w:t>401,6</w:t>
      </w:r>
      <w:r w:rsidRPr="00242B92" w:rsidR="00707B2B">
        <w:t xml:space="preserve"> </w:t>
      </w:r>
      <w:r w:rsidRPr="00242B92">
        <w:t xml:space="preserve">tūkst. EUR, kas </w:t>
      </w:r>
      <w:r w:rsidRPr="00242B92" w:rsidR="0042349A">
        <w:t xml:space="preserve">veido </w:t>
      </w:r>
      <w:r w:rsidR="001B32BB">
        <w:t>20,9</w:t>
      </w:r>
      <w:r>
        <w:t>% no 2018.gadā plānotās vērtības;</w:t>
      </w:r>
    </w:p>
    <w:p w:rsidR="00B80963" w:rsidP="00124CD6" w14:paraId="036364DA" w14:textId="77777777">
      <w:pPr>
        <w:pStyle w:val="BulletF"/>
      </w:pPr>
      <w:r>
        <w:t xml:space="preserve">1.1.1.2. pasākums: </w:t>
      </w:r>
    </w:p>
    <w:p w:rsidR="006C08CF" w:rsidP="00BD43FD" w14:paraId="1720B406" w14:textId="77777777">
      <w:pPr>
        <w:pStyle w:val="BulletA"/>
      </w:pPr>
      <w:r>
        <w:t>2023.gadā sasniedzamā vērtība – 3</w:t>
      </w:r>
      <w:r w:rsidRPr="008012B5">
        <w:t>,</w:t>
      </w:r>
      <w:r>
        <w:t xml:space="preserve">2 </w:t>
      </w:r>
      <w:r w:rsidRPr="008012B5">
        <w:t>MEUR</w:t>
      </w:r>
      <w:r w:rsidR="00391B3F">
        <w:t xml:space="preserve"> </w:t>
      </w:r>
    </w:p>
    <w:p w:rsidR="006C08CF" w:rsidP="00BD43FD" w14:paraId="5CA6FFD4" w14:textId="30DA1D9F">
      <w:pPr>
        <w:pStyle w:val="BulletA"/>
      </w:pPr>
      <w:r>
        <w:t>pirmās kārtas</w:t>
      </w:r>
      <w:r>
        <w:t xml:space="preserve"> ietvaros uzņemtās saistības – </w:t>
      </w:r>
      <w:r w:rsidR="006352DC">
        <w:t>2</w:t>
      </w:r>
      <w:r w:rsidR="00D25AF3">
        <w:t>79</w:t>
      </w:r>
      <w:r w:rsidR="00C05082">
        <w:t>,</w:t>
      </w:r>
      <w:r w:rsidR="00D25AF3">
        <w:t>9</w:t>
      </w:r>
      <w:r w:rsidR="006352DC">
        <w:t xml:space="preserve"> </w:t>
      </w:r>
      <w:r>
        <w:t xml:space="preserve">tūkst. </w:t>
      </w:r>
      <w:r w:rsidRPr="001901B4">
        <w:t>EUR</w:t>
      </w:r>
      <w:r w:rsidR="00BA6246">
        <w:t xml:space="preserve"> (32,83% no 2018.gadā plānotās vērtības)</w:t>
      </w:r>
      <w:r>
        <w:t>;</w:t>
      </w:r>
    </w:p>
    <w:p w:rsidR="006C08CF" w:rsidP="00BD43FD" w14:paraId="0DB143F5" w14:textId="77777777">
      <w:pPr>
        <w:pStyle w:val="BulletA"/>
      </w:pPr>
      <w:r>
        <w:t>aktuālā vērtība – 0 EUR;</w:t>
      </w:r>
    </w:p>
    <w:p w:rsidR="000A7D1C" w:rsidP="00D25AF3" w14:paraId="10B25952" w14:textId="38723082">
      <w:pPr>
        <w:pStyle w:val="BulletA"/>
        <w:numPr>
          <w:ilvl w:val="0"/>
          <w:numId w:val="0"/>
        </w:numPr>
        <w:ind w:left="1494" w:hanging="360"/>
      </w:pPr>
      <w:r>
        <w:rPr>
          <w:noProof/>
          <w:lang w:eastAsia="lv-LV"/>
        </w:rPr>
        <w:drawing>
          <wp:inline distT="0" distB="0" distL="0" distR="0">
            <wp:extent cx="4876165" cy="998376"/>
            <wp:effectExtent l="0" t="0" r="635"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26991" w:rsidRPr="00C26991" w:rsidP="00C26991" w14:paraId="6CB885C2" w14:textId="77777777">
      <w:pPr>
        <w:pStyle w:val="Caption"/>
      </w:pPr>
      <w:bookmarkStart w:id="101" w:name="_Ref491182763"/>
      <w:r>
        <w:fldChar w:fldCharType="begin"/>
      </w:r>
      <w:r>
        <w:instrText xml:space="preserve"> SEQ attēls \* ARABIC </w:instrText>
      </w:r>
      <w:r>
        <w:fldChar w:fldCharType="separate"/>
      </w:r>
      <w:r>
        <w:t>15</w:t>
      </w:r>
      <w:r>
        <w:fldChar w:fldCharType="end"/>
      </w:r>
      <w:r w:rsidRPr="00385E7D">
        <w:t>.</w:t>
      </w:r>
      <w:bookmarkEnd w:id="101"/>
      <w:r w:rsidR="001C07A2">
        <w:t xml:space="preserve"> </w:t>
      </w:r>
      <w:r>
        <w:t>attēls</w:t>
      </w:r>
      <w:r w:rsidRPr="00385E7D">
        <w:t xml:space="preserve">. </w:t>
      </w:r>
      <w:r w:rsidRPr="00C26991">
        <w:t>SAM 1.1.1. pirmās kārtas projektu ietvaros uzņemtās saistības iznākuma rādītāja - p</w:t>
      </w:r>
      <w:r w:rsidRPr="00C26991">
        <w:rPr>
          <w:i/>
          <w:iCs/>
        </w:rPr>
        <w:t xml:space="preserve">rivātās investīcijas, kas papildina valsts atbalstu inovācijām vai pētniecības un izstrādes projektiem - </w:t>
      </w:r>
      <w:r w:rsidRPr="00C26991">
        <w:t>izpildē</w:t>
      </w:r>
    </w:p>
    <w:p w:rsidR="00F53F3E" w:rsidP="00F53F3E" w14:paraId="7DF0628D" w14:textId="77777777">
      <w:pPr>
        <w:rPr>
          <w:rFonts w:eastAsia="Candara"/>
          <w:szCs w:val="24"/>
        </w:rPr>
      </w:pPr>
      <w:r>
        <w:rPr>
          <w:rFonts w:eastAsia="Candara"/>
          <w:szCs w:val="24"/>
        </w:rPr>
        <w:t>5</w:t>
      </w:r>
      <w:r w:rsidRPr="00F53F3E">
        <w:rPr>
          <w:rFonts w:eastAsia="Candara"/>
          <w:szCs w:val="24"/>
        </w:rPr>
        <w:t>. komersantu skaits, kuri sadarbojas ar pētniecības organizāciju (i.1.1.1.ck (CO26)</w:t>
      </w:r>
      <w:r>
        <w:rPr>
          <w:rFonts w:eastAsia="Candara"/>
          <w:szCs w:val="24"/>
        </w:rPr>
        <w:t>):</w:t>
      </w:r>
    </w:p>
    <w:p w:rsidR="00617B28" w:rsidP="00124CD6" w14:paraId="0A01BDD4" w14:textId="77777777">
      <w:pPr>
        <w:pStyle w:val="BulletF"/>
      </w:pPr>
      <w:r w:rsidRPr="001901B4">
        <w:t>1.1.1.1.pasākum</w:t>
      </w:r>
      <w:r>
        <w:t xml:space="preserve">s: </w:t>
      </w:r>
    </w:p>
    <w:p w:rsidR="004807F3" w:rsidP="005F2C4D" w14:paraId="7FDC1234" w14:textId="77777777">
      <w:pPr>
        <w:pStyle w:val="BulletA"/>
      </w:pPr>
      <w:r>
        <w:t>2023.gadā sasniedzamā vērtība – 80 komersanti;</w:t>
      </w:r>
    </w:p>
    <w:p w:rsidR="004807F3" w:rsidP="005F2C4D" w14:paraId="38B34AD4" w14:textId="77777777">
      <w:pPr>
        <w:pStyle w:val="BulletA"/>
      </w:pPr>
      <w:r>
        <w:t>pirmās kārtas</w:t>
      </w:r>
      <w:r>
        <w:t xml:space="preserve"> ietvaros uzņemtās saistības – 1</w:t>
      </w:r>
      <w:r>
        <w:t>8</w:t>
      </w:r>
      <w:r>
        <w:t xml:space="preserve"> komersanti;</w:t>
      </w:r>
    </w:p>
    <w:p w:rsidR="004807F3" w:rsidRPr="00505CE0" w:rsidP="005F2C4D" w14:paraId="514A7D42" w14:textId="77777777">
      <w:pPr>
        <w:pStyle w:val="BulletA"/>
      </w:pPr>
      <w:r>
        <w:t xml:space="preserve">aktuālā vērtība – </w:t>
      </w:r>
      <w:r w:rsidRPr="00242B92" w:rsidR="00707B2B">
        <w:t>1</w:t>
      </w:r>
      <w:r w:rsidRPr="00242B92" w:rsidR="00262CD6">
        <w:t>5</w:t>
      </w:r>
      <w:r w:rsidRPr="00242B92" w:rsidR="00707B2B">
        <w:t xml:space="preserve"> </w:t>
      </w:r>
      <w:r w:rsidRPr="00242B92">
        <w:t xml:space="preserve">komersanti, kas </w:t>
      </w:r>
      <w:r w:rsidRPr="00242B92" w:rsidR="0042349A">
        <w:t xml:space="preserve">veido </w:t>
      </w:r>
      <w:r w:rsidRPr="00242B92" w:rsidR="00262CD6">
        <w:t>100</w:t>
      </w:r>
      <w:r w:rsidRPr="00521B82" w:rsidR="00707B2B">
        <w:t xml:space="preserve"> </w:t>
      </w:r>
      <w:r w:rsidRPr="00521B82" w:rsidR="00521B82">
        <w:t>%</w:t>
      </w:r>
      <w:r w:rsidRPr="00505CE0" w:rsidR="00521B82">
        <w:t xml:space="preserve"> </w:t>
      </w:r>
      <w:r w:rsidRPr="00505CE0">
        <w:t>no 2018.gadā plānotās vērtības;</w:t>
      </w:r>
    </w:p>
    <w:p w:rsidR="00617B28" w:rsidRPr="00505CE0" w:rsidP="00124CD6" w14:paraId="31B42970" w14:textId="77777777">
      <w:pPr>
        <w:pStyle w:val="BulletF"/>
      </w:pPr>
      <w:r w:rsidRPr="00505CE0">
        <w:t xml:space="preserve">1.1.1.2.pasākums: </w:t>
      </w:r>
    </w:p>
    <w:p w:rsidR="004807F3" w:rsidP="005F2C4D" w14:paraId="67A68D12" w14:textId="77777777">
      <w:pPr>
        <w:pStyle w:val="BulletA"/>
      </w:pPr>
      <w:r>
        <w:t>2023.gadā sasniedzamā vērtība – 100 komersanti;</w:t>
      </w:r>
    </w:p>
    <w:p w:rsidR="004807F3" w:rsidP="005F2C4D" w14:paraId="7B7ECE24" w14:textId="0BADEC23">
      <w:pPr>
        <w:pStyle w:val="BulletA"/>
      </w:pPr>
      <w:r>
        <w:t>pirmās kārtas</w:t>
      </w:r>
      <w:r>
        <w:t xml:space="preserve"> ietvaros uzņemtās saistības – </w:t>
      </w:r>
      <w:r w:rsidR="000173D9">
        <w:t>1</w:t>
      </w:r>
      <w:r w:rsidR="006352DC">
        <w:t>8</w:t>
      </w:r>
      <w:r>
        <w:t xml:space="preserve"> komersanti;</w:t>
      </w:r>
    </w:p>
    <w:p w:rsidR="004807F3" w:rsidP="005F2C4D" w14:paraId="4AB73CC7" w14:textId="77777777">
      <w:pPr>
        <w:pStyle w:val="BulletA"/>
      </w:pPr>
      <w:r>
        <w:t>aktuālā vērtība – 0;</w:t>
      </w:r>
    </w:p>
    <w:p w:rsidR="008025D0" w:rsidP="0097234F" w14:paraId="45EDEA97" w14:textId="535ED792">
      <w:pPr>
        <w:jc w:val="center"/>
      </w:pPr>
      <w:r>
        <w:rPr>
          <w:noProof/>
          <w:lang w:eastAsia="lv-LV"/>
        </w:rPr>
        <w:drawing>
          <wp:inline distT="0" distB="0" distL="0" distR="0">
            <wp:extent cx="5464175" cy="1003041"/>
            <wp:effectExtent l="0" t="0" r="3175" b="698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F2C4D" w:rsidRPr="005F2C4D" w:rsidP="005F2C4D" w14:paraId="06B16618" w14:textId="77777777">
      <w:pPr>
        <w:pStyle w:val="Caption"/>
      </w:pPr>
      <w:r>
        <w:fldChar w:fldCharType="begin"/>
      </w:r>
      <w:r>
        <w:instrText xml:space="preserve"> SEQ attēls \* ARABIC </w:instrText>
      </w:r>
      <w:r>
        <w:fldChar w:fldCharType="separate"/>
      </w:r>
      <w:r>
        <w:t>16</w:t>
      </w:r>
      <w:r>
        <w:rPr>
          <w:noProof/>
        </w:rPr>
        <w:fldChar w:fldCharType="end"/>
      </w:r>
      <w:r w:rsidRPr="00385E7D">
        <w:t>.</w:t>
      </w:r>
      <w:r>
        <w:t xml:space="preserve"> </w:t>
      </w:r>
      <w:r w:rsidR="00021B39">
        <w:t>attēls</w:t>
      </w:r>
      <w:r w:rsidRPr="00385E7D">
        <w:t xml:space="preserve">. </w:t>
      </w:r>
      <w:r w:rsidRPr="005F2C4D">
        <w:t xml:space="preserve">SAM 1.1.1. pirmās kārtas projektu ietvaros uzņemtās saistības iznākuma rādītāja - </w:t>
      </w:r>
      <w:r w:rsidRPr="005F2C4D">
        <w:rPr>
          <w:i/>
          <w:iCs/>
        </w:rPr>
        <w:t xml:space="preserve">komersantu skaits, kuri sadarbojas ar pētniecības institūcijām </w:t>
      </w:r>
      <w:r w:rsidRPr="005F2C4D">
        <w:t>- izpildē</w:t>
      </w:r>
    </w:p>
    <w:p w:rsidR="00F53F3E" w:rsidRPr="00F53F3E" w:rsidP="00160F57" w14:paraId="5EA6521A" w14:textId="77777777">
      <w:pPr>
        <w:pStyle w:val="ListParagraph"/>
      </w:pPr>
      <w:r w:rsidRPr="00F53F3E">
        <w:t>6. tehnoloģiju tiesības (PUD 1.1.1.f</w:t>
      </w:r>
      <w:r>
        <w:t>):</w:t>
      </w:r>
    </w:p>
    <w:p w:rsidR="00F53F3E" w:rsidP="00124CD6" w14:paraId="2DA88FCE" w14:textId="77777777">
      <w:pPr>
        <w:pStyle w:val="BulletF"/>
      </w:pPr>
      <w:r w:rsidRPr="001901B4">
        <w:t>1.1.1.1.pasākum</w:t>
      </w:r>
      <w:r>
        <w:t xml:space="preserve">s: </w:t>
      </w:r>
      <w:r w:rsidRPr="00F53F3E" w:rsidR="000F7AF0">
        <w:t xml:space="preserve">kompetentajās iestādēs </w:t>
      </w:r>
      <w:r>
        <w:t xml:space="preserve">plānots </w:t>
      </w:r>
      <w:r w:rsidRPr="00F53F3E" w:rsidR="000F7AF0">
        <w:t>reģistrēt 39 patentu pieteikumus</w:t>
      </w:r>
      <w:r>
        <w:t>;</w:t>
      </w:r>
    </w:p>
    <w:p w:rsidR="000F7AF0" w:rsidRPr="00F53F3E" w:rsidP="00124CD6" w14:paraId="36A19BF1" w14:textId="77777777">
      <w:pPr>
        <w:pStyle w:val="BulletF"/>
      </w:pPr>
      <w:r w:rsidRPr="001901B4">
        <w:t>1.1.1.</w:t>
      </w:r>
      <w:r>
        <w:t>2</w:t>
      </w:r>
      <w:r w:rsidRPr="001901B4">
        <w:t>.pasākum</w:t>
      </w:r>
      <w:r>
        <w:t xml:space="preserve">s: </w:t>
      </w:r>
      <w:r w:rsidRPr="00F53F3E">
        <w:t xml:space="preserve">kompetentajās iestādēs </w:t>
      </w:r>
      <w:r>
        <w:t xml:space="preserve">plānots </w:t>
      </w:r>
      <w:r w:rsidRPr="00F53F3E">
        <w:t>reģistrēt</w:t>
      </w:r>
      <w:r w:rsidRPr="00F53F3E">
        <w:t xml:space="preserve"> 4 patentus</w:t>
      </w:r>
      <w:r>
        <w:t>;</w:t>
      </w:r>
      <w:r w:rsidRPr="00F53F3E">
        <w:t xml:space="preserve"> </w:t>
      </w:r>
    </w:p>
    <w:p w:rsidR="00F53F3E" w:rsidP="00160F57" w14:paraId="70E838AD" w14:textId="77777777">
      <w:pPr>
        <w:pStyle w:val="ListParagraph"/>
        <w:rPr>
          <w:rFonts w:eastAsia="Candara"/>
          <w:szCs w:val="24"/>
        </w:rPr>
      </w:pPr>
      <w:r w:rsidRPr="00F53F3E">
        <w:rPr>
          <w:rFonts w:eastAsia="Candara"/>
          <w:szCs w:val="24"/>
        </w:rPr>
        <w:t>7. intelektuālā īpašuma licences līgumi (PUD 1.1.1.g)</w:t>
      </w:r>
      <w:r>
        <w:rPr>
          <w:rFonts w:eastAsia="Candara"/>
          <w:szCs w:val="24"/>
        </w:rPr>
        <w:t>:</w:t>
      </w:r>
      <w:r w:rsidR="006352DC">
        <w:rPr>
          <w:rFonts w:eastAsia="Candara"/>
          <w:szCs w:val="24"/>
        </w:rPr>
        <w:t xml:space="preserve"> </w:t>
      </w:r>
      <w:r w:rsidRPr="001901B4" w:rsidR="006352DC">
        <w:t>1.1.1.1.pasākum</w:t>
      </w:r>
      <w:r w:rsidR="006352DC">
        <w:t>s pirmās kārtas ietvaros plānots slēgt 30 intelektuālā īpašuma licences līgumus</w:t>
      </w:r>
      <w:r w:rsidR="00E178DA">
        <w:t>;</w:t>
      </w:r>
    </w:p>
    <w:p w:rsidR="00F53F3E" w:rsidP="00160F57" w14:paraId="17D333AB" w14:textId="23463DA5">
      <w:pPr>
        <w:pStyle w:val="ListParagraph"/>
      </w:pPr>
      <w:r w:rsidRPr="00F53F3E">
        <w:rPr>
          <w:rFonts w:eastAsia="Candara"/>
          <w:szCs w:val="24"/>
        </w:rPr>
        <w:t>8. citi pētījuma specifikai atbilstoši projekta rezultāti (t.sk. dati), (PUD 1.1.1.h)</w:t>
      </w:r>
      <w:r>
        <w:rPr>
          <w:rFonts w:eastAsia="Candara"/>
          <w:szCs w:val="24"/>
        </w:rPr>
        <w:t>:</w:t>
      </w:r>
      <w:r w:rsidR="006352DC">
        <w:rPr>
          <w:rFonts w:eastAsia="Candara"/>
          <w:szCs w:val="24"/>
        </w:rPr>
        <w:t xml:space="preserve"> </w:t>
      </w:r>
      <w:r w:rsidRPr="001901B4" w:rsidR="006352DC">
        <w:t>1.1.1.1.pasākum</w:t>
      </w:r>
      <w:r w:rsidR="006352DC">
        <w:t>s pirmās kārtas ietvaros plānotas 5676 rezultātu vienības, tai skaitā dati.</w:t>
      </w:r>
      <w:r w:rsidR="00F667FD">
        <w:t xml:space="preserve"> Aktuālā vērtība uz </w:t>
      </w:r>
      <w:r w:rsidR="00657CA1">
        <w:t>28</w:t>
      </w:r>
      <w:r w:rsidR="00F667FD">
        <w:t>.1</w:t>
      </w:r>
      <w:r w:rsidR="006036E0">
        <w:t>2</w:t>
      </w:r>
      <w:r w:rsidR="00F667FD">
        <w:t xml:space="preserve">.17. – </w:t>
      </w:r>
      <w:r w:rsidR="00657CA1">
        <w:t>314</w:t>
      </w:r>
      <w:r w:rsidR="00F667FD">
        <w:t xml:space="preserve"> rezultātu vienības.</w:t>
      </w:r>
    </w:p>
    <w:p w:rsidR="006036E0" w:rsidP="00160F57" w14:paraId="1C71F37A" w14:textId="77777777">
      <w:pPr>
        <w:pStyle w:val="ListParagraph"/>
      </w:pPr>
      <w:r>
        <w:br w:type="page"/>
      </w:r>
    </w:p>
    <w:p w:rsidR="00001BBB" w:rsidP="00001BBB" w14:paraId="5A964651" w14:textId="77777777">
      <w:pPr>
        <w:pStyle w:val="Header3"/>
      </w:pPr>
      <w:r>
        <w:t>Secinājumi</w:t>
      </w:r>
    </w:p>
    <w:p w:rsidR="00A51E93" w:rsidP="005F0EE0" w14:paraId="521477B4" w14:textId="77777777">
      <w:r>
        <w:t xml:space="preserve">Analizējot </w:t>
      </w:r>
      <w:r w:rsidR="00126C19">
        <w:t>SAM 1.1.1. pasākuma</w:t>
      </w:r>
      <w:r>
        <w:t xml:space="preserve"> iznākuma rādītāju tendences atbilstoši pirmās projektu </w:t>
      </w:r>
      <w:r w:rsidR="00126C19">
        <w:t xml:space="preserve">iesniegumu </w:t>
      </w:r>
      <w:r>
        <w:t xml:space="preserve">atlases kārtas rezultātiem, </w:t>
      </w:r>
      <w:r w:rsidR="00126C19">
        <w:t>secināms, ka</w:t>
      </w:r>
      <w:r>
        <w:t>:</w:t>
      </w:r>
    </w:p>
    <w:p w:rsidR="0022607E" w:rsidP="00160F57" w14:paraId="76410BE7" w14:textId="77777777">
      <w:pPr>
        <w:pStyle w:val="ListParagraph"/>
      </w:pPr>
      <w:r>
        <w:t>1. </w:t>
      </w:r>
      <w:r w:rsidR="00D1161F">
        <w:t xml:space="preserve">apdraudēta </w:t>
      </w:r>
      <w:r w:rsidR="00862821">
        <w:t xml:space="preserve">virzība uz RIS3 mērķu sasniegšanu </w:t>
      </w:r>
      <w:r w:rsidR="00D377E6">
        <w:t>(</w:t>
      </w:r>
      <w:r w:rsidR="00001BBB">
        <w:fldChar w:fldCharType="begin"/>
      </w:r>
      <w:r w:rsidR="00001BBB">
        <w:instrText xml:space="preserve"> REF _Ref494274800 \h </w:instrText>
      </w:r>
      <w:r w:rsidR="00001BBB">
        <w:fldChar w:fldCharType="separate"/>
      </w:r>
      <w:r>
        <w:t>1</w:t>
      </w:r>
      <w:r>
        <w:t xml:space="preserve">. </w:t>
      </w:r>
      <w:r>
        <w:t>attēls</w:t>
      </w:r>
      <w:r w:rsidR="00001BBB">
        <w:fldChar w:fldCharType="end"/>
      </w:r>
      <w:r w:rsidR="00D377E6">
        <w:t xml:space="preserve">), jo </w:t>
      </w:r>
      <w:r w:rsidR="00001BBB">
        <w:t>identificēti</w:t>
      </w:r>
      <w:r w:rsidR="00D377E6">
        <w:t xml:space="preserve"> </w:t>
      </w:r>
      <w:r w:rsidR="00D1161F">
        <w:t xml:space="preserve">šādu </w:t>
      </w:r>
      <w:r w:rsidR="00D377E6">
        <w:t xml:space="preserve">SAM 1.1.1. pasākumu </w:t>
      </w:r>
      <w:r w:rsidR="00D1161F">
        <w:t>iznākuma rādītāju izpilde</w:t>
      </w:r>
      <w:r w:rsidR="00D377E6">
        <w:t>s riski</w:t>
      </w:r>
      <w:r>
        <w:t>:</w:t>
      </w:r>
    </w:p>
    <w:p w:rsidR="00D1161F" w:rsidP="00160F57" w14:paraId="3872A31E" w14:textId="77777777">
      <w:pPr>
        <w:pStyle w:val="ListParagraph"/>
      </w:pPr>
      <w:r>
        <w:t>1.</w:t>
      </w:r>
      <w:r w:rsidR="0022607E">
        <w:t>1. </w:t>
      </w:r>
      <w:r w:rsidRPr="00E551F3" w:rsidR="00126C19">
        <w:t>jaunu pētnieku skaits atbalstītajās vienībās (pilnas slodzes ekvivalents</w:t>
      </w:r>
      <w:r w:rsidRPr="00E551F3" w:rsidR="00AF5D7E">
        <w:t>)</w:t>
      </w:r>
      <w:r w:rsidR="006855CC">
        <w:t xml:space="preserve">: </w:t>
      </w:r>
      <w:r w:rsidRPr="00E551F3" w:rsidR="006855CC">
        <w:t>rādītāja sasniegšanu var sekmēt</w:t>
      </w:r>
      <w:r w:rsidR="006855CC">
        <w:t xml:space="preserve"> </w:t>
      </w:r>
      <w:r w:rsidRPr="00E551F3" w:rsidR="006855CC">
        <w:t xml:space="preserve">projektu iesniegumu atlases nosacījumu precizēšana, paredzot, ka prioritāri </w:t>
      </w:r>
      <w:r w:rsidR="006855CC">
        <w:t xml:space="preserve">finansē projektus, kas paredz </w:t>
      </w:r>
      <w:r w:rsidR="00A012BD">
        <w:t>studējošo iesaisti projekta īstenošanā 2 PLE</w:t>
      </w:r>
      <w:r w:rsidR="006855CC">
        <w:t xml:space="preserve"> </w:t>
      </w:r>
      <w:r w:rsidR="00A012BD">
        <w:t>vai 25% apmērā no kopējā zinātnisko darbinieku skaita PLE izteiksmē</w:t>
      </w:r>
      <w:r>
        <w:t>;</w:t>
      </w:r>
    </w:p>
    <w:p w:rsidR="00D1161F" w:rsidP="00160F57" w14:paraId="20E875AA" w14:textId="77777777">
      <w:pPr>
        <w:pStyle w:val="ListParagraph"/>
      </w:pPr>
      <w:r>
        <w:t>1.</w:t>
      </w:r>
      <w:r>
        <w:t>2. </w:t>
      </w:r>
      <w:r w:rsidRPr="00E551F3">
        <w:t xml:space="preserve">privātās investīcijas, kas papildina valsts atbalstu inovācijām vai pētniecības un izstrādes projektiem: rādītāja sasniegšanu var sekmēt atbalstāmo pētniecības kategoriju aktualizācija, projektu iesniegumu atlases nosacījumu precizēšana, </w:t>
      </w:r>
      <w:r w:rsidR="00D04BE8">
        <w:t>kā arī atsevišķs finansējums ar saimniecisku darbību saistītu un ar saimniecisku darbību nesaistītu pētniecības projektu iesniegšanai nākamajās atlases kārtās</w:t>
      </w:r>
      <w:r w:rsidRPr="00E551F3">
        <w:t>;</w:t>
      </w:r>
    </w:p>
    <w:p w:rsidR="004A0AF3" w:rsidRPr="00E551F3" w:rsidP="00160F57" w14:paraId="10F6C457" w14:textId="77777777">
      <w:pPr>
        <w:pStyle w:val="ListParagraph"/>
      </w:pPr>
      <w:r>
        <w:t>1.3. </w:t>
      </w:r>
      <w:r w:rsidRPr="000103F4" w:rsidR="000103F4">
        <w:t>jauno produktu un tehnoloģiju skaits, kas ir komercializējami un kuru izstrādei sniegts atbalsts</w:t>
      </w:r>
      <w:r w:rsidR="000103F4">
        <w:t>;</w:t>
      </w:r>
    </w:p>
    <w:p w:rsidR="00001BBB" w:rsidP="00160F57" w14:paraId="65D6FF51" w14:textId="77777777">
      <w:pPr>
        <w:pStyle w:val="ListParagraph"/>
      </w:pPr>
      <w:r>
        <w:t>1.</w:t>
      </w:r>
      <w:r w:rsidR="004A0AF3">
        <w:t>4</w:t>
      </w:r>
      <w:r w:rsidR="00D1161F">
        <w:t>. t</w:t>
      </w:r>
      <w:r w:rsidRPr="00F06F82" w:rsidR="00D1161F">
        <w:t>o komersantu skaits, kuri sadarbojas ar pētniecības institūcijām</w:t>
      </w:r>
      <w:r w:rsidR="00D1161F">
        <w:t xml:space="preserve"> (1.1.1.2. pasākuma ietvaros)</w:t>
      </w:r>
      <w:r>
        <w:t>;</w:t>
      </w:r>
    </w:p>
    <w:p w:rsidR="00A51E93" w:rsidP="00160F57" w14:paraId="040DABBC" w14:textId="77777777">
      <w:pPr>
        <w:pStyle w:val="ListParagraph"/>
      </w:pPr>
      <w:r>
        <w:t>2.</w:t>
      </w:r>
      <w:r w:rsidRPr="00D1161F">
        <w:t xml:space="preserve"> </w:t>
      </w:r>
      <w:r w:rsidR="00001BBB">
        <w:t>tiks pārsniegts</w:t>
      </w:r>
      <w:r>
        <w:t xml:space="preserve"> šād</w:t>
      </w:r>
      <w:r w:rsidR="00001BBB">
        <w:t>s</w:t>
      </w:r>
      <w:r>
        <w:t xml:space="preserve"> </w:t>
      </w:r>
      <w:r w:rsidR="00001BBB">
        <w:t xml:space="preserve">DP norādītais </w:t>
      </w:r>
      <w:r>
        <w:t>iznākuma rādītāj</w:t>
      </w:r>
      <w:r w:rsidR="00001BBB">
        <w:t xml:space="preserve">s: </w:t>
      </w:r>
      <w:r w:rsidRPr="005F0EE0">
        <w:t>zinātnisko rakstu skaits, kuru izstrādei un publicēšanai sniegts atbalsts pētniecības pieteikumu ietvaros</w:t>
      </w:r>
      <w:r>
        <w:t xml:space="preserve">; </w:t>
      </w:r>
    </w:p>
    <w:p w:rsidR="00851201" w:rsidP="00160F57" w14:paraId="504E6BF3" w14:textId="2580208E">
      <w:pPr>
        <w:pStyle w:val="ListParagraph"/>
      </w:pPr>
      <w:r>
        <w:t>3. </w:t>
      </w:r>
      <w:r w:rsidR="00082231">
        <w:t xml:space="preserve"> </w:t>
      </w:r>
      <w:r w:rsidR="00AC7E2A">
        <w:t>SAM 1.1.1</w:t>
      </w:r>
      <w:r w:rsidR="00082231">
        <w:t xml:space="preserve">. pasākumu ietvaros </w:t>
      </w:r>
      <w:r>
        <w:t>iespējams</w:t>
      </w:r>
      <w:r w:rsidR="00082231">
        <w:t xml:space="preserve"> sasniegt šādu iznākuma rādītāju:</w:t>
      </w:r>
      <w:r w:rsidR="00435631">
        <w:t xml:space="preserve"> </w:t>
      </w:r>
      <w:r w:rsidRPr="005F0EE0" w:rsidR="00A51E93">
        <w:t>komersantu skaits, kuri sadarbojas ar pētniecības</w:t>
      </w:r>
      <w:r w:rsidR="00AC7E2A">
        <w:t xml:space="preserve"> </w:t>
      </w:r>
      <w:r w:rsidR="00A012BD">
        <w:t xml:space="preserve">organizāciju </w:t>
      </w:r>
      <w:r w:rsidR="00AC7E2A">
        <w:t>(</w:t>
      </w:r>
      <w:r w:rsidR="001E63D3">
        <w:t>Praktiskas ievirzes pētījumu programmas</w:t>
      </w:r>
      <w:r w:rsidR="00AC7E2A">
        <w:t xml:space="preserve"> ietvaros)</w:t>
      </w:r>
      <w:r w:rsidR="00A51E93">
        <w:t xml:space="preserve">. </w:t>
      </w:r>
    </w:p>
    <w:p w:rsidR="00F31F80" w:rsidP="00F77DD2" w14:paraId="6B9039AB" w14:textId="77777777">
      <w:pPr>
        <w:pStyle w:val="BulletF"/>
        <w:sectPr w:rsidSect="001F2D02">
          <w:headerReference w:type="default" r:id="rId37"/>
          <w:footerReference w:type="even" r:id="rId38"/>
          <w:footerReference w:type="default" r:id="rId39"/>
          <w:footerReference w:type="first" r:id="rId40"/>
          <w:pgSz w:w="11906" w:h="16838"/>
          <w:pgMar w:top="1134" w:right="1134" w:bottom="1134" w:left="1701" w:header="425" w:footer="193" w:gutter="0"/>
          <w:cols w:space="708"/>
          <w:titlePg/>
          <w:docGrid w:linePitch="360"/>
        </w:sectPr>
      </w:pPr>
    </w:p>
    <w:p w:rsidR="00255043" w:rsidRPr="008A56D5" w:rsidP="00255043" w14:paraId="170140A5" w14:textId="77777777">
      <w:pPr>
        <w:pStyle w:val="Heading2"/>
      </w:pPr>
      <w:bookmarkStart w:id="102" w:name="_Toc499019521"/>
      <w:bookmarkStart w:id="103" w:name="_Toc505086377"/>
      <w:bookmarkStart w:id="104" w:name="_Toc494727608"/>
      <w:bookmarkStart w:id="105" w:name="_Toc256000015"/>
      <w:bookmarkStart w:id="106" w:name="_Toc256000042"/>
      <w:r>
        <w:t>2.5. </w:t>
      </w:r>
      <w:r w:rsidR="00405FFD">
        <w:t>Risinājumi iznākuma rādītāju izpildes riska mazināšanai</w:t>
      </w:r>
      <w:bookmarkEnd w:id="106"/>
      <w:bookmarkEnd w:id="105"/>
      <w:bookmarkEnd w:id="102"/>
      <w:bookmarkEnd w:id="103"/>
    </w:p>
    <w:p w:rsidR="00255043" w:rsidP="00255043" w14:paraId="2619C698" w14:textId="1B3E2765">
      <w:r>
        <w:t xml:space="preserve">SAM 1.1.1. ieviešanas analīzes rezultātā konstatēts, ka SAM 1.1.1. ieviešanu un </w:t>
      </w:r>
      <w:r w:rsidRPr="00991C41">
        <w:t>iznākumu rādītāju sasniegšanu</w:t>
      </w:r>
      <w:r w:rsidR="00196E28">
        <w:t xml:space="preserve"> </w:t>
      </w:r>
      <w:r w:rsidR="005A1D59">
        <w:t xml:space="preserve">kavē zemais </w:t>
      </w:r>
      <w:r w:rsidR="00196E28">
        <w:t xml:space="preserve">nacionālā finansējuma pētniecībai un </w:t>
      </w:r>
      <w:r w:rsidRPr="00307F09" w:rsidR="00196E28">
        <w:t>attīstībai līmenis</w:t>
      </w:r>
      <w:r w:rsidRPr="00307F09">
        <w:t xml:space="preserve">, </w:t>
      </w:r>
      <w:r w:rsidR="00307F09">
        <w:t>kas rezultējas institūciju piesardzībā garantēt projektu ietvaros izveidoto darba vietu ilgtspēju</w:t>
      </w:r>
      <w:r w:rsidRPr="00307F09">
        <w:t>.</w:t>
      </w:r>
      <w:r>
        <w:t xml:space="preserve"> Plāns identificēto risku mazināšanai paredz veikt grozījumus </w:t>
      </w:r>
      <w:r w:rsidR="00185770">
        <w:t xml:space="preserve">DP, </w:t>
      </w:r>
      <w:r w:rsidRPr="00185770" w:rsidR="00185770">
        <w:t xml:space="preserve">samazinot sākotnēji plānotās iznākuma rādītāju </w:t>
      </w:r>
      <w:r w:rsidR="00185770">
        <w:t>(</w:t>
      </w:r>
      <w:r w:rsidRPr="000B28A5" w:rsidR="00185770">
        <w:t>i.1.1.1.bk (CO24)</w:t>
      </w:r>
      <w:r w:rsidR="00185770">
        <w:t>,</w:t>
      </w:r>
      <w:r w:rsidRPr="00185770" w:rsidR="00185770">
        <w:t xml:space="preserve"> </w:t>
      </w:r>
      <w:r w:rsidRPr="005F696A" w:rsidR="00185770">
        <w:t>i.1.1.1.f</w:t>
      </w:r>
      <w:r w:rsidR="00185770">
        <w:t xml:space="preserve">) </w:t>
      </w:r>
      <w:r w:rsidRPr="00185770" w:rsidR="00185770">
        <w:t>vērtības,</w:t>
      </w:r>
      <w:r w:rsidR="00185770">
        <w:rPr>
          <w:b/>
        </w:rPr>
        <w:t xml:space="preserve"> </w:t>
      </w:r>
      <w:r>
        <w:t>MK noteikumos</w:t>
      </w:r>
      <w:r w:rsidR="00CA3F19">
        <w:t xml:space="preserve"> </w:t>
      </w:r>
      <w:r>
        <w:t xml:space="preserve">par SAM 1.1.1. pasākumu </w:t>
      </w:r>
      <w:r w:rsidR="00CA3F19">
        <w:t>īstenošanu, veikt projektu iesniegumu vērtēšanas kritēriju precizējumus</w:t>
      </w:r>
      <w:r>
        <w:t xml:space="preserve"> </w:t>
      </w:r>
      <w:r w:rsidR="00CA3F19">
        <w:t>un aktualizēt projektu iesniegumu atlases kārtību, sekmējot tādu projektu iesniegumu atlasi, kas sniedz vislielāko ieguldījumu RIS3 mikro</w:t>
      </w:r>
      <w:r w:rsidR="006A06BB">
        <w:t xml:space="preserve"> </w:t>
      </w:r>
      <w:r w:rsidR="00CA3F19">
        <w:t>līmeņa rādītāju un SAM 1.1.1. iznākuma rādītāju izpildē (</w:t>
      </w:r>
      <w:r w:rsidR="00CA3F19">
        <w:fldChar w:fldCharType="begin"/>
      </w:r>
      <w:r w:rsidR="00CA3F19">
        <w:instrText xml:space="preserve"> REF _Ref495047338 \h </w:instrText>
      </w:r>
      <w:r w:rsidR="00CA3F19">
        <w:fldChar w:fldCharType="separate"/>
      </w:r>
      <w:r>
        <w:t>2</w:t>
      </w:r>
      <w:r>
        <w:t>. tabula</w:t>
      </w:r>
      <w:r w:rsidR="00CA3F19">
        <w:fldChar w:fldCharType="end"/>
      </w:r>
      <w:r w:rsidR="00CA3F19">
        <w:t>).</w:t>
      </w:r>
    </w:p>
    <w:p w:rsidR="00BF76E4" w:rsidP="00CA3F19" w14:paraId="45E48817" w14:textId="77777777">
      <w:pPr>
        <w:pStyle w:val="Caption"/>
      </w:pPr>
      <w:bookmarkStart w:id="107" w:name="_Ref495047338"/>
      <w:r>
        <w:fldChar w:fldCharType="begin"/>
      </w:r>
      <w:r>
        <w:instrText xml:space="preserve"> SEQ tabula \* ARABIC </w:instrText>
      </w:r>
      <w:r>
        <w:fldChar w:fldCharType="separate"/>
      </w:r>
      <w:r>
        <w:t>2</w:t>
      </w:r>
      <w:r>
        <w:fldChar w:fldCharType="end"/>
      </w:r>
      <w:r>
        <w:t>. tabula</w:t>
      </w:r>
      <w:bookmarkEnd w:id="107"/>
      <w:r w:rsidR="006A06BB">
        <w:t>.</w:t>
      </w:r>
      <w:r>
        <w:t xml:space="preserve"> </w:t>
      </w:r>
      <w:r w:rsidR="00405FFD">
        <w:t>Risinājumi</w:t>
      </w:r>
      <w:r w:rsidR="006A06BB">
        <w:t xml:space="preserve"> </w:t>
      </w:r>
      <w:r w:rsidR="00EF7D34">
        <w:t xml:space="preserve">RIS3 mikro līmeņa rādītāju un SAM 1.1.1. </w:t>
      </w:r>
      <w:r w:rsidR="006A06BB">
        <w:t>iznākuma rādītāju izpildes risku mazināšanai</w:t>
      </w:r>
    </w:p>
    <w:tbl>
      <w:tblPr>
        <w:tblStyle w:val="PlainTable11"/>
        <w:tblW w:w="5000" w:type="pct"/>
        <w:tblLook w:val="04A0"/>
      </w:tblPr>
      <w:tblGrid>
        <w:gridCol w:w="897"/>
        <w:gridCol w:w="2920"/>
        <w:gridCol w:w="3521"/>
        <w:gridCol w:w="7222"/>
      </w:tblGrid>
      <w:tr w14:paraId="2911FB77" w14:textId="77777777" w:rsidTr="00D34572">
        <w:tblPrEx>
          <w:tblW w:w="5000" w:type="pct"/>
          <w:tblLook w:val="04A0"/>
        </w:tblPrEx>
        <w:trPr>
          <w:tblHeader/>
        </w:trPr>
        <w:tc>
          <w:tcPr>
            <w:tcW w:w="191" w:type="pct"/>
            <w:tcBorders>
              <w:bottom w:val="single" w:sz="4" w:space="0" w:color="BFBFBF" w:themeColor="background1" w:themeShade="BF"/>
            </w:tcBorders>
          </w:tcPr>
          <w:p w:rsidR="00B22D3B" w:rsidP="00BF76E4" w14:paraId="6B45B025" w14:textId="77777777"/>
        </w:tc>
        <w:tc>
          <w:tcPr>
            <w:tcW w:w="1042" w:type="pct"/>
            <w:tcBorders>
              <w:bottom w:val="single" w:sz="4" w:space="0" w:color="BFBFBF" w:themeColor="background1" w:themeShade="BF"/>
            </w:tcBorders>
          </w:tcPr>
          <w:p w:rsidR="00B22D3B" w:rsidP="00EF7D34" w14:paraId="6B837AD1" w14:textId="77777777">
            <w:pPr>
              <w:jc w:val="center"/>
            </w:pPr>
            <w:r>
              <w:t>Esoš</w:t>
            </w:r>
            <w:r w:rsidR="00EF7D34">
              <w:t>ie</w:t>
            </w:r>
            <w:r>
              <w:t xml:space="preserve"> </w:t>
            </w:r>
            <w:r w:rsidR="00EF7D34">
              <w:t>nosacījumi</w:t>
            </w:r>
          </w:p>
        </w:tc>
        <w:tc>
          <w:tcPr>
            <w:tcW w:w="1248" w:type="pct"/>
            <w:tcBorders>
              <w:bottom w:val="single" w:sz="4" w:space="0" w:color="BFBFBF" w:themeColor="background1" w:themeShade="BF"/>
            </w:tcBorders>
          </w:tcPr>
          <w:p w:rsidR="00B22D3B" w:rsidP="00EF7D34" w14:paraId="2E0B9C0A" w14:textId="77777777">
            <w:pPr>
              <w:jc w:val="left"/>
            </w:pPr>
            <w:r>
              <w:t>Situācijas analīze</w:t>
            </w:r>
          </w:p>
        </w:tc>
        <w:tc>
          <w:tcPr>
            <w:tcW w:w="2519" w:type="pct"/>
            <w:tcBorders>
              <w:bottom w:val="single" w:sz="4" w:space="0" w:color="BFBFBF" w:themeColor="background1" w:themeShade="BF"/>
            </w:tcBorders>
          </w:tcPr>
          <w:p w:rsidR="00B22D3B" w:rsidP="00D245D0" w14:paraId="0E6DE5B5" w14:textId="77777777">
            <w:pPr>
              <w:jc w:val="center"/>
            </w:pPr>
            <w:r>
              <w:t>Risinājumi</w:t>
            </w:r>
            <w:r>
              <w:t xml:space="preserve"> risku mazināšanai</w:t>
            </w:r>
          </w:p>
        </w:tc>
      </w:tr>
      <w:tr w14:paraId="4AF008FD" w14:textId="77777777" w:rsidTr="00814155">
        <w:tblPrEx>
          <w:tblW w:w="5000" w:type="pct"/>
          <w:tblLook w:val="04A0"/>
        </w:tblPrEx>
        <w:tc>
          <w:tcPr>
            <w:tcW w:w="5000" w:type="pct"/>
            <w:gridSpan w:val="4"/>
            <w:shd w:val="clear" w:color="auto" w:fill="E7DDDD" w:themeFill="accent6" w:themeFillTint="33"/>
          </w:tcPr>
          <w:p w:rsidR="00873065" w:rsidP="00EF7D34" w14:paraId="31E8CC3D" w14:textId="77777777">
            <w:pPr>
              <w:jc w:val="center"/>
            </w:pPr>
            <w:r>
              <w:t>Saturiskie uzlabojumi</w:t>
            </w:r>
            <w:r w:rsidR="00A81B63">
              <w:t xml:space="preserve"> </w:t>
            </w:r>
          </w:p>
        </w:tc>
      </w:tr>
      <w:tr w14:paraId="62829FB8" w14:textId="77777777" w:rsidTr="00D34572">
        <w:tblPrEx>
          <w:tblW w:w="5000" w:type="pct"/>
          <w:tblLook w:val="04A0"/>
        </w:tblPrEx>
        <w:tc>
          <w:tcPr>
            <w:tcW w:w="191" w:type="pct"/>
          </w:tcPr>
          <w:p w:rsidR="00B92CC1" w:rsidRPr="000103F4" w:rsidP="002A0DDA" w14:paraId="7595C107" w14:textId="77777777">
            <w:r w:rsidRPr="000103F4">
              <w:t>I.</w:t>
            </w:r>
          </w:p>
        </w:tc>
        <w:tc>
          <w:tcPr>
            <w:tcW w:w="4809" w:type="pct"/>
            <w:gridSpan w:val="3"/>
          </w:tcPr>
          <w:p w:rsidR="00B92CC1" w:rsidRPr="00F77DD2" w:rsidP="00160F57" w14:paraId="0D1B11B2" w14:textId="77777777">
            <w:pPr>
              <w:pStyle w:val="ListParagraph"/>
            </w:pPr>
            <w:r w:rsidRPr="00F77DD2">
              <w:t xml:space="preserve">Risinājumi, lai sekmētu iznākuma rādītāja </w:t>
            </w:r>
            <w:r w:rsidRPr="000103F4" w:rsidR="00CA4080">
              <w:t xml:space="preserve">jaunu pētnieku skaits atbalstītajās vienībās </w:t>
            </w:r>
            <w:r w:rsidRPr="00F77DD2" w:rsidR="00CA4080">
              <w:t xml:space="preserve">(i.1.1.1.bk (CO24)) </w:t>
            </w:r>
            <w:r w:rsidRPr="00F77DD2">
              <w:t>izpildi</w:t>
            </w:r>
          </w:p>
        </w:tc>
      </w:tr>
      <w:tr w14:paraId="5B5A3A8E" w14:textId="77777777" w:rsidTr="00D34572">
        <w:tblPrEx>
          <w:tblW w:w="5000" w:type="pct"/>
          <w:tblLook w:val="04A0"/>
        </w:tblPrEx>
        <w:tc>
          <w:tcPr>
            <w:tcW w:w="191" w:type="pct"/>
          </w:tcPr>
          <w:p w:rsidR="00082231" w:rsidP="002A0DDA" w14:paraId="48364FAD" w14:textId="77777777">
            <w:r>
              <w:fldChar w:fldCharType="begin"/>
            </w:r>
            <w:r>
              <w:instrText xml:space="preserve"> AUTONUM  </w:instrText>
            </w:r>
            <w:r>
              <w:fldChar w:fldCharType="end"/>
            </w:r>
          </w:p>
        </w:tc>
        <w:tc>
          <w:tcPr>
            <w:tcW w:w="1042" w:type="pct"/>
          </w:tcPr>
          <w:p w:rsidR="00082231" w:rsidP="00082231" w14:paraId="669B8706" w14:textId="77777777">
            <w:r>
              <w:t xml:space="preserve">Saskaņā ar EK </w:t>
            </w:r>
            <w:r w:rsidRPr="00A233C9">
              <w:t xml:space="preserve">Vadlīnijām </w:t>
            </w:r>
            <w:r>
              <w:t xml:space="preserve">par </w:t>
            </w:r>
            <w:r w:rsidRPr="00A233C9">
              <w:t>monitoringu un novērtēšanu</w:t>
            </w:r>
            <w:r w:rsidRPr="00E551F3">
              <w:t xml:space="preserve"> </w:t>
            </w:r>
            <w:r w:rsidRPr="00A233C9">
              <w:t>– Kohēzijas fonds un Eiropas r</w:t>
            </w:r>
            <w:r w:rsidR="00912B4C">
              <w:t>e</w:t>
            </w:r>
            <w:r w:rsidRPr="00A233C9">
              <w:t>ģionālās attīstības fonds</w:t>
            </w:r>
            <w:r>
              <w:t xml:space="preserve"> (turpmāk – EK Vadlīnijas)</w:t>
            </w:r>
            <w:r w:rsidR="00912B4C">
              <w:rPr>
                <w:rStyle w:val="FootnoteReference"/>
              </w:rPr>
              <w:t xml:space="preserve"> </w:t>
            </w:r>
            <w:r>
              <w:rPr>
                <w:rStyle w:val="FootnoteReference"/>
              </w:rPr>
              <w:footnoteReference w:id="13"/>
            </w:r>
            <w:r>
              <w:t xml:space="preserve"> (</w:t>
            </w:r>
            <w:r w:rsidRPr="00912B4C">
              <w:rPr>
                <w:i/>
              </w:rPr>
              <w:t>Guidance document on monitoring and evaluation - Cohesion Fund and European Regional Development Fund, 2014</w:t>
            </w:r>
            <w:r>
              <w:t xml:space="preserve">) kopīgais iznākuma rādītājs </w:t>
            </w:r>
            <w:r w:rsidRPr="000B28A5" w:rsidR="00912B4C">
              <w:t>i.1.1.1.bk (CO24)</w:t>
            </w:r>
            <w:r w:rsidR="00912B4C">
              <w:t xml:space="preserve"> </w:t>
            </w:r>
            <w:r>
              <w:t xml:space="preserve">raksturo </w:t>
            </w:r>
            <w:r w:rsidR="00912B4C">
              <w:t>papildu</w:t>
            </w:r>
            <w:r>
              <w:t xml:space="preserve"> darba viet</w:t>
            </w:r>
            <w:r w:rsidR="00912B4C">
              <w:t>u skaitu PLE izteiksmē</w:t>
            </w:r>
            <w:r>
              <w:t xml:space="preserve"> pētniecīb</w:t>
            </w:r>
            <w:r w:rsidR="00912B4C">
              <w:t xml:space="preserve">as </w:t>
            </w:r>
            <w:r w:rsidR="00912B4C">
              <w:t>īstenošanā tieši</w:t>
            </w:r>
            <w:r>
              <w:t xml:space="preserve"> iesaistītam personālam, </w:t>
            </w:r>
            <w:r w:rsidR="00912B4C">
              <w:t>vienlaikus</w:t>
            </w:r>
            <w:r>
              <w:t xml:space="preserve"> nodrošin</w:t>
            </w:r>
            <w:r w:rsidR="00912B4C">
              <w:t>ot</w:t>
            </w:r>
            <w:r>
              <w:t xml:space="preserve"> kopējo pētniecībā strādājošo skaita pieaugumu institūcijā. </w:t>
            </w:r>
          </w:p>
          <w:p w:rsidR="00912B4C" w:rsidP="00082231" w14:paraId="7797CF96" w14:textId="77777777">
            <w:r>
              <w:t>Saskaņā ar nacionālo tiesību sistēmu</w:t>
            </w:r>
            <w:r w:rsidR="008212DF">
              <w:t xml:space="preserve"> pētniecībā tieši iesaistītais personāls ir vadošie pētnieki, pētnieki, zinātniskie asistenti un zinātnes tehniskais personāls.</w:t>
            </w:r>
          </w:p>
          <w:p w:rsidR="00082231" w:rsidP="00082231" w14:paraId="1603A89A" w14:textId="77777777">
            <w:pPr>
              <w:pStyle w:val="BulletA"/>
              <w:numPr>
                <w:ilvl w:val="0"/>
                <w:numId w:val="0"/>
              </w:numPr>
              <w:ind w:left="1494" w:hanging="360"/>
            </w:pPr>
          </w:p>
        </w:tc>
        <w:tc>
          <w:tcPr>
            <w:tcW w:w="1248" w:type="pct"/>
          </w:tcPr>
          <w:p w:rsidR="00124CD6" w:rsidRPr="00F77DD2" w:rsidP="0053110A" w14:paraId="2567E035" w14:textId="72207DA2">
            <w:r w:rsidRPr="00F77DD2">
              <w:t xml:space="preserve">Pirmās projektu iesniegumu </w:t>
            </w:r>
            <w:r w:rsidRPr="009A24B5">
              <w:t>atlases</w:t>
            </w:r>
            <w:r w:rsidRPr="00F77DD2">
              <w:t xml:space="preserve"> kārtas ietvaros</w:t>
            </w:r>
            <w:r w:rsidR="00307F09">
              <w:t xml:space="preserve"> konstatēts, ka nepietiekama nacionālā finansējuma zinātnei dēļ</w:t>
            </w:r>
            <w:r w:rsidRPr="00F77DD2">
              <w:t xml:space="preserve"> </w:t>
            </w:r>
            <w:r w:rsidR="003E0DFE">
              <w:t>institūcij</w:t>
            </w:r>
            <w:r w:rsidR="00307F09">
              <w:t>ām ir nepietiekama</w:t>
            </w:r>
            <w:r w:rsidR="003E0DFE">
              <w:t xml:space="preserve"> </w:t>
            </w:r>
            <w:r w:rsidR="00307F09">
              <w:t xml:space="preserve">finansiālā </w:t>
            </w:r>
            <w:r w:rsidR="003E0DFE">
              <w:t>kapacitāte</w:t>
            </w:r>
            <w:r w:rsidR="001E23A6">
              <w:t>, lai</w:t>
            </w:r>
            <w:r w:rsidR="003E0DFE">
              <w:t xml:space="preserve"> projektu ietvaros nodrošināt</w:t>
            </w:r>
            <w:r w:rsidR="001E23A6">
              <w:t>u</w:t>
            </w:r>
            <w:r w:rsidR="003E0DFE">
              <w:t xml:space="preserve"> jaunu pētnieku darba vietu izveidi</w:t>
            </w:r>
            <w:r w:rsidR="00307F09">
              <w:t xml:space="preserve"> atbilstoši</w:t>
            </w:r>
            <w:r w:rsidRPr="00F77DD2">
              <w:t xml:space="preserve"> EK </w:t>
            </w:r>
            <w:r w:rsidRPr="009A24B5">
              <w:t>Vadlīnij</w:t>
            </w:r>
            <w:r w:rsidR="003E0DFE">
              <w:t>ās noteikt</w:t>
            </w:r>
            <w:r w:rsidR="00307F09">
              <w:t>ajai</w:t>
            </w:r>
            <w:r w:rsidR="003E0DFE">
              <w:t xml:space="preserve"> </w:t>
            </w:r>
            <w:r w:rsidRPr="009A24B5">
              <w:t xml:space="preserve"> kopīg</w:t>
            </w:r>
            <w:r w:rsidR="003E0DFE">
              <w:t>ā</w:t>
            </w:r>
            <w:r w:rsidRPr="00F77DD2">
              <w:t xml:space="preserve"> iznākuma </w:t>
            </w:r>
            <w:r w:rsidRPr="009A24B5">
              <w:t>rādītāj</w:t>
            </w:r>
            <w:r w:rsidR="003E0DFE">
              <w:t>a definīcij</w:t>
            </w:r>
            <w:r w:rsidR="00307F09">
              <w:t>ai</w:t>
            </w:r>
            <w:r w:rsidRPr="00F77DD2">
              <w:t xml:space="preserve"> - jaunu pētnieku skaits atbalstītajās vienībās i.1.1.1.bk (CO24), kas raksturo projekta ietvaros izveidoto jauno darba vietu skaitu </w:t>
            </w:r>
            <w:r w:rsidRPr="00F77DD2">
              <w:t>PLE izteiksmē pētniecības īstenošanā tieši iesaistītam personālam, vienlaikus nodrošinot kopējo pētniecībā strādājošo skaita pieaugumu institūcijā.</w:t>
            </w:r>
          </w:p>
          <w:p w:rsidR="00CA4080" w:rsidRPr="009A24B5" w:rsidP="0053110A" w14:paraId="1D1116F1" w14:textId="77777777">
            <w:r>
              <w:t>I</w:t>
            </w:r>
            <w:r w:rsidRPr="009A24B5" w:rsidR="0053110A">
              <w:t>nstit</w:t>
            </w:r>
            <w:r w:rsidRPr="009A24B5">
              <w:t xml:space="preserve">ūcijas </w:t>
            </w:r>
            <w:r>
              <w:t>projektu ietvaros iesaistītos cilvēkresursus nereti nodarbināja</w:t>
            </w:r>
            <w:r w:rsidRPr="009A24B5">
              <w:t xml:space="preserve">: </w:t>
            </w:r>
          </w:p>
          <w:p w:rsidR="00BE7A95" w:rsidRPr="000B28A5" w:rsidP="00BE7A95" w14:paraId="33A9CC2E" w14:textId="77777777">
            <w:r w:rsidRPr="009A24B5">
              <w:t xml:space="preserve">1) </w:t>
            </w:r>
            <w:r w:rsidRPr="009A24B5" w:rsidR="00253079">
              <w:t>sekmējot</w:t>
            </w:r>
            <w:r w:rsidRPr="000B28A5">
              <w:t xml:space="preserve"> pētniecības personāla atjaunotn</w:t>
            </w:r>
            <w:r w:rsidR="00253079">
              <w:t>i;</w:t>
            </w:r>
            <w:r w:rsidRPr="000B28A5">
              <w:t xml:space="preserve"> </w:t>
            </w:r>
          </w:p>
          <w:p w:rsidR="00BE7A95" w:rsidRPr="000B28A5" w:rsidP="00BE7A95" w14:paraId="140AD622" w14:textId="77777777">
            <w:r w:rsidRPr="000B28A5">
              <w:t>2) aizpild</w:t>
            </w:r>
            <w:r w:rsidR="00253079">
              <w:t>ot</w:t>
            </w:r>
            <w:r w:rsidRPr="000B28A5">
              <w:t xml:space="preserve"> vakantās amata vietas institūcijā;</w:t>
            </w:r>
          </w:p>
          <w:p w:rsidR="00BE7A95" w:rsidRPr="000B28A5" w:rsidP="00BE7A95" w14:paraId="7EC58C85" w14:textId="77777777">
            <w:r w:rsidRPr="000B28A5">
              <w:t>3) palielin</w:t>
            </w:r>
            <w:r w:rsidR="00253079">
              <w:t>ot</w:t>
            </w:r>
            <w:r w:rsidRPr="000B28A5">
              <w:t xml:space="preserve"> darba slodzi, kas nereti samazināta ņemot vērā struktūrfondu 2007. – 2013. gada plānošanas perioda beigas un tā ietvaros īstenoto projektu noslēgšanos</w:t>
            </w:r>
            <w:r w:rsidR="00CA4080">
              <w:t>.</w:t>
            </w:r>
          </w:p>
          <w:p w:rsidR="00BE7A95" w:rsidRPr="00420666" w:rsidP="00BE7A95" w14:paraId="7BACD707" w14:textId="77777777">
            <w:r>
              <w:t xml:space="preserve">Pēcdoktorantūras pētījumu programmas </w:t>
            </w:r>
            <w:r w:rsidRPr="000B28A5">
              <w:t xml:space="preserve"> ietvaros būtiska daļa no jaunajiem zinātniekiem (pēcdoktorantiem) </w:t>
            </w:r>
            <w:r w:rsidR="0004319E">
              <w:t xml:space="preserve">jau </w:t>
            </w:r>
            <w:r w:rsidRPr="000B28A5">
              <w:t xml:space="preserve">ir darba </w:t>
            </w:r>
            <w:r w:rsidR="0004319E">
              <w:t xml:space="preserve">tiesiskajās </w:t>
            </w:r>
            <w:r w:rsidRPr="000B28A5">
              <w:t xml:space="preserve">attiecībās esoši pētnieki, kuri nereti amata pozīciju nemaina, bet, kuriem projekta īstenošanas rezultātā tiek zinātnisko kompetenču pilnveides un karjeras izaugsmes iespējas esošās amata vietas ietvaros. Tas tiešā veidā sekmē </w:t>
            </w:r>
            <w:r>
              <w:t xml:space="preserve">Pēcdoktorantūras pētījumu programmas </w:t>
            </w:r>
            <w:r w:rsidRPr="000B28A5">
              <w:t xml:space="preserve"> mērķi, kas paredz attīstīt jauno zinātnieku prasmes, pētniecības kompetenču pilnveidošanu, cilvēkresursu atjaunotni un kvalificētu speciālistu skaita pieaugumu.</w:t>
            </w:r>
          </w:p>
          <w:p w:rsidR="0004319E" w:rsidRPr="002551AF" w:rsidP="00160F57" w14:paraId="30C22C8B" w14:textId="77777777">
            <w:pPr>
              <w:pStyle w:val="ListParagraph"/>
            </w:pPr>
            <w:r>
              <w:t>Ievērojot minēto</w:t>
            </w:r>
            <w:r w:rsidR="00917D11">
              <w:t>,</w:t>
            </w:r>
            <w:r>
              <w:t xml:space="preserve"> </w:t>
            </w:r>
            <w:r w:rsidR="002A414E">
              <w:t xml:space="preserve">Pēcdoktorantūras pētījumu programmas </w:t>
            </w:r>
            <w:r>
              <w:t xml:space="preserve"> ietvaros ir augsts i</w:t>
            </w:r>
            <w:r w:rsidRPr="000B28A5">
              <w:t>znākuma rādītāja i.1.1.1.bk (CO24)</w:t>
            </w:r>
            <w:r>
              <w:t xml:space="preserve"> izpildes risks</w:t>
            </w:r>
            <w:r w:rsidR="00917D11">
              <w:t>.</w:t>
            </w:r>
          </w:p>
          <w:p w:rsidR="00082231" w:rsidP="00842B61" w14:paraId="243393DC" w14:textId="6303A90F">
            <w:r>
              <w:t>Ņ</w:t>
            </w:r>
            <w:r w:rsidR="0004319E">
              <w:t xml:space="preserve">emot vērā, ka </w:t>
            </w:r>
            <w:r w:rsidR="001E63D3">
              <w:t>Praktiskas ievirzes pētījumu programmas</w:t>
            </w:r>
            <w:r w:rsidR="0004319E">
              <w:t xml:space="preserve"> ietvaros pētniecību īsteno komanda, nevis viena persona – pēcdoktorants, kā tas ir </w:t>
            </w:r>
            <w:r w:rsidR="002A414E">
              <w:t xml:space="preserve">Pēcdoktorantūras pētījumu programmas </w:t>
            </w:r>
            <w:r w:rsidR="0004319E">
              <w:t xml:space="preserve">ietvaros, identificētais iznākuma rādītāja </w:t>
            </w:r>
            <w:r w:rsidRPr="000B28A5" w:rsidR="0004319E">
              <w:t>i.1.1.1.bk (CO24)</w:t>
            </w:r>
            <w:r w:rsidR="0004319E">
              <w:t xml:space="preserve"> izpildes riska pakāpe </w:t>
            </w:r>
            <w:r w:rsidR="001E63D3">
              <w:t>Praktiskas ievirzes pētījumu programmas</w:t>
            </w:r>
            <w:r w:rsidR="00613F59">
              <w:t xml:space="preserve"> ietvaros </w:t>
            </w:r>
            <w:r w:rsidR="0004319E">
              <w:t>ir vidēja</w:t>
            </w:r>
            <w:r w:rsidRPr="009337FE">
              <w:t>.</w:t>
            </w:r>
          </w:p>
        </w:tc>
        <w:tc>
          <w:tcPr>
            <w:tcW w:w="2519" w:type="pct"/>
          </w:tcPr>
          <w:p w:rsidR="00082231" w:rsidP="00160F57" w14:paraId="69BC1DB6" w14:textId="77777777">
            <w:pPr>
              <w:pStyle w:val="ListParagraph"/>
            </w:pPr>
            <w:r w:rsidRPr="00467EBF">
              <w:t xml:space="preserve">Lai </w:t>
            </w:r>
            <w:r>
              <w:t>sekmētu iznākuma rādītāja izpildi, ņemot vērā izveidojušos situāciju, plānots:</w:t>
            </w:r>
          </w:p>
          <w:p w:rsidR="00E254A0" w:rsidRPr="00D34572" w:rsidP="00EF7C59" w14:paraId="3B9BB04A" w14:textId="22880227">
            <w:pPr>
              <w:pStyle w:val="Caption"/>
              <w:rPr>
                <w:sz w:val="24"/>
              </w:rPr>
            </w:pPr>
            <w:r w:rsidRPr="00D34572">
              <w:rPr>
                <w:sz w:val="24"/>
              </w:rPr>
              <w:t>1. veikt darbības programmas grozījumus (</w:t>
            </w:r>
            <w:r w:rsidRPr="00D34572" w:rsidR="00EF7C59">
              <w:rPr>
                <w:sz w:val="24"/>
              </w:rPr>
              <w:t>3. tabula</w:t>
            </w:r>
            <w:r w:rsidRPr="00D34572" w:rsidR="00B22293">
              <w:rPr>
                <w:sz w:val="24"/>
              </w:rPr>
              <w:t>)</w:t>
            </w:r>
            <w:r w:rsidR="00B17365">
              <w:rPr>
                <w:sz w:val="24"/>
              </w:rPr>
              <w:t>:</w:t>
            </w:r>
            <w:r w:rsidRPr="00D34572" w:rsidR="00EF7C59">
              <w:rPr>
                <w:sz w:val="24"/>
              </w:rPr>
              <w:t xml:space="preserve"> </w:t>
            </w:r>
          </w:p>
          <w:p w:rsidR="00082231" w:rsidP="00160F57" w14:paraId="347838F5" w14:textId="43DCFD11">
            <w:pPr>
              <w:pStyle w:val="ListParagraph"/>
            </w:pPr>
            <w:r>
              <w:t>1.1.</w:t>
            </w:r>
            <w:r w:rsidR="00035354">
              <w:t> </w:t>
            </w:r>
            <w:r w:rsidRPr="00A012BD">
              <w:t xml:space="preserve">paredzot iznākuma rādītāja </w:t>
            </w:r>
            <w:r w:rsidRPr="00A012BD" w:rsidR="00A012BD">
              <w:t xml:space="preserve">jaunu pētnieku skaits atbalstītajās vienībās </w:t>
            </w:r>
            <w:r w:rsidRPr="00A012BD">
              <w:t>i.1.1.1.bk (CO24) 2023. gadā sasniedzamās vērtības samazinājumu;</w:t>
            </w:r>
            <w:r>
              <w:t xml:space="preserve"> </w:t>
            </w:r>
          </w:p>
          <w:p w:rsidR="007F30C0" w:rsidP="00082231" w14:paraId="032DE94C" w14:textId="0308B3C0">
            <w:pPr>
              <w:ind w:firstLine="357"/>
            </w:pPr>
            <w:r>
              <w:t>1.2. </w:t>
            </w:r>
            <w:r w:rsidRPr="000B28A5">
              <w:t>izvirzot jaunu iznākuma rādītāju – “</w:t>
            </w:r>
            <w:r w:rsidR="00EF7C59">
              <w:t>Jauno zinātnieku</w:t>
            </w:r>
            <w:r w:rsidRPr="000B28A5">
              <w:t xml:space="preserve"> skaits (pilnas slodzes ekvivalents), kuriem projekta īstenošanas ietvaros </w:t>
            </w:r>
            <w:r w:rsidRPr="00D34572" w:rsidR="00B823D3">
              <w:t>pilnveidota</w:t>
            </w:r>
            <w:r w:rsidRPr="00346C99" w:rsidR="00B823D3">
              <w:rPr>
                <w:b/>
              </w:rPr>
              <w:t xml:space="preserve"> </w:t>
            </w:r>
            <w:r w:rsidRPr="00D34572" w:rsidR="00B823D3">
              <w:t>kompetence</w:t>
            </w:r>
            <w:r w:rsidRPr="00FA326D" w:rsidR="00FA326D">
              <w:rPr>
                <w:szCs w:val="24"/>
              </w:rPr>
              <w:t>, ieskaitot karjeras izaugsmes un personāla atjaunotnes procesus</w:t>
            </w:r>
            <w:r w:rsidRPr="000B28A5">
              <w:t>” (i.1.1.1.h)</w:t>
            </w:r>
            <w:r>
              <w:t>;</w:t>
            </w:r>
          </w:p>
          <w:p w:rsidR="00082231" w:rsidP="00082231" w14:paraId="135BB75E" w14:textId="77777777">
            <w:pPr>
              <w:ind w:firstLine="357"/>
            </w:pPr>
            <w:r>
              <w:t xml:space="preserve">1.3. ieviešot nosacījumu, ka praktiskas ievirzes pētījumu projektos ir jāparedz </w:t>
            </w:r>
            <w:r w:rsidR="00AA3C29">
              <w:t xml:space="preserve">studējošo iesaiste </w:t>
            </w:r>
            <w:r>
              <w:t xml:space="preserve">vismaz </w:t>
            </w:r>
            <w:r w:rsidR="00AA3C29">
              <w:t>2 PLE vai 25% no kopējā zinātnisko darbinieku skaita PLE izteiksmē</w:t>
            </w:r>
            <w:r w:rsidRPr="000B28A5">
              <w:t xml:space="preserve">. </w:t>
            </w:r>
          </w:p>
          <w:p w:rsidR="00E254A0" w:rsidRPr="00D34572" w:rsidP="00E254A0" w14:paraId="2C2E98A4" w14:textId="77777777">
            <w:pPr>
              <w:pStyle w:val="Caption"/>
              <w:rPr>
                <w:sz w:val="24"/>
              </w:rPr>
            </w:pPr>
            <w:r w:rsidRPr="00D34572">
              <w:rPr>
                <w:sz w:val="24"/>
              </w:rPr>
              <w:t>3. tabula “Plānotie darbības programmā “Izaugsme un nodarbinātība” noteikto iznākuma rādītāju grozījumi”</w:t>
            </w:r>
          </w:p>
          <w:tbl>
            <w:tblPr>
              <w:tblStyle w:val="TableGrid"/>
              <w:tblW w:w="5000" w:type="pct"/>
              <w:tblLook w:val="04A0"/>
            </w:tblPr>
            <w:tblGrid>
              <w:gridCol w:w="1924"/>
              <w:gridCol w:w="1597"/>
              <w:gridCol w:w="916"/>
              <w:gridCol w:w="916"/>
              <w:gridCol w:w="1643"/>
            </w:tblGrid>
            <w:tr w14:paraId="1FB919DB" w14:textId="63E0967F" w:rsidTr="00814155">
              <w:tblPrEx>
                <w:tblW w:w="5000" w:type="pct"/>
                <w:tblLook w:val="04A0"/>
              </w:tblPrEx>
              <w:tc>
                <w:tcPr>
                  <w:tcW w:w="2428" w:type="pct"/>
                </w:tcPr>
                <w:p w:rsidR="00814155" w:rsidRPr="00D34572" w:rsidP="00E254A0" w14:paraId="12A283ED" w14:textId="77777777">
                  <w:pPr>
                    <w:rPr>
                      <w:b/>
                    </w:rPr>
                  </w:pPr>
                  <w:r w:rsidRPr="00D34572">
                    <w:rPr>
                      <w:b/>
                    </w:rPr>
                    <w:t>Rādītājs</w:t>
                  </w:r>
                </w:p>
              </w:tc>
              <w:tc>
                <w:tcPr>
                  <w:tcW w:w="778" w:type="pct"/>
                </w:tcPr>
                <w:p w:rsidR="00814155" w:rsidRPr="00D34572" w:rsidP="00E254A0" w14:paraId="7FABE559" w14:textId="77777777">
                  <w:pPr>
                    <w:rPr>
                      <w:b/>
                    </w:rPr>
                  </w:pPr>
                  <w:r w:rsidRPr="00D34572">
                    <w:rPr>
                      <w:b/>
                    </w:rPr>
                    <w:t>Pasākums</w:t>
                  </w:r>
                </w:p>
              </w:tc>
              <w:tc>
                <w:tcPr>
                  <w:tcW w:w="776" w:type="pct"/>
                  <w:gridSpan w:val="2"/>
                </w:tcPr>
                <w:p w:rsidR="00814155" w:rsidRPr="00D34572" w:rsidP="00E254A0" w14:paraId="008A87C3" w14:textId="77777777">
                  <w:pPr>
                    <w:rPr>
                      <w:b/>
                    </w:rPr>
                  </w:pPr>
                  <w:r w:rsidRPr="00D34572">
                    <w:rPr>
                      <w:b/>
                    </w:rPr>
                    <w:t>Sākotnējā vērtība</w:t>
                  </w:r>
                </w:p>
              </w:tc>
              <w:tc>
                <w:tcPr>
                  <w:tcW w:w="1017" w:type="pct"/>
                </w:tcPr>
                <w:p w:rsidR="00814155" w:rsidRPr="00D34572" w:rsidP="00E254A0" w14:paraId="5D870434" w14:textId="77777777">
                  <w:pPr>
                    <w:rPr>
                      <w:b/>
                    </w:rPr>
                  </w:pPr>
                  <w:r w:rsidRPr="00D34572">
                    <w:rPr>
                      <w:b/>
                    </w:rPr>
                    <w:t>DP grozījumu piedāvājums*</w:t>
                  </w:r>
                </w:p>
              </w:tc>
            </w:tr>
            <w:tr w14:paraId="5892E339" w14:textId="77777777" w:rsidTr="00814155">
              <w:tblPrEx>
                <w:tblW w:w="5000" w:type="pct"/>
                <w:tblLook w:val="04A0"/>
              </w:tblPrEx>
              <w:tc>
                <w:tcPr>
                  <w:tcW w:w="2701" w:type="pct"/>
                  <w:vMerge w:val="restart"/>
                </w:tcPr>
                <w:p w:rsidR="00814155" w:rsidRPr="00D34572" w:rsidP="00E254A0" w14:paraId="1B21B922" w14:textId="77777777">
                  <w:r w:rsidRPr="00D34572">
                    <w:t>Jaunu pētnieku skaits (PLE)</w:t>
                  </w:r>
                </w:p>
              </w:tc>
              <w:tc>
                <w:tcPr>
                  <w:tcW w:w="766" w:type="pct"/>
                </w:tcPr>
                <w:p w:rsidR="00814155" w:rsidRPr="00D34572" w:rsidP="00E254A0" w14:paraId="77C80745" w14:textId="77777777">
                  <w:r w:rsidRPr="00D34572">
                    <w:t>1.1.1.1.</w:t>
                  </w:r>
                </w:p>
              </w:tc>
              <w:tc>
                <w:tcPr>
                  <w:tcW w:w="479" w:type="pct"/>
                  <w:vMerge w:val="restart"/>
                  <w:vAlign w:val="center"/>
                </w:tcPr>
                <w:p w:rsidR="00814155" w:rsidRPr="00D34572" w:rsidP="00E254A0" w14:paraId="4FCBCB91" w14:textId="77777777">
                  <w:pPr>
                    <w:jc w:val="center"/>
                  </w:pPr>
                  <w:r w:rsidRPr="00D34572">
                    <w:t>700</w:t>
                  </w:r>
                </w:p>
              </w:tc>
              <w:tc>
                <w:tcPr>
                  <w:tcW w:w="574" w:type="pct"/>
                  <w:vAlign w:val="center"/>
                </w:tcPr>
                <w:p w:rsidR="00814155" w:rsidRPr="00D34572" w:rsidP="00E254A0" w14:paraId="584D49EC" w14:textId="77777777">
                  <w:pPr>
                    <w:jc w:val="center"/>
                  </w:pPr>
                  <w:r w:rsidRPr="00D34572">
                    <w:t>306</w:t>
                  </w:r>
                </w:p>
              </w:tc>
              <w:tc>
                <w:tcPr>
                  <w:tcW w:w="479" w:type="pct"/>
                  <w:vMerge w:val="restart"/>
                  <w:vAlign w:val="center"/>
                </w:tcPr>
                <w:p w:rsidR="00814155" w:rsidRPr="00D34572" w:rsidP="00E254A0" w14:paraId="2819D12E" w14:textId="77777777">
                  <w:pPr>
                    <w:jc w:val="center"/>
                  </w:pPr>
                  <w:r w:rsidRPr="00D34572">
                    <w:t>177</w:t>
                  </w:r>
                </w:p>
              </w:tc>
            </w:tr>
            <w:tr w14:paraId="1F0AF449" w14:textId="77777777" w:rsidTr="00814155">
              <w:tblPrEx>
                <w:tblW w:w="5000" w:type="pct"/>
                <w:tblLook w:val="04A0"/>
              </w:tblPrEx>
              <w:tc>
                <w:tcPr>
                  <w:tcW w:w="2701" w:type="pct"/>
                  <w:vMerge/>
                </w:tcPr>
                <w:p w:rsidR="00814155" w:rsidRPr="00D34572" w:rsidP="00E254A0" w14:paraId="1623EA3C" w14:textId="77777777"/>
              </w:tc>
              <w:tc>
                <w:tcPr>
                  <w:tcW w:w="766" w:type="pct"/>
                </w:tcPr>
                <w:p w:rsidR="00814155" w:rsidRPr="00D34572" w:rsidP="00E254A0" w14:paraId="7ADDCDA5" w14:textId="77777777">
                  <w:r w:rsidRPr="00D34572">
                    <w:t>1.1.1.2.</w:t>
                  </w:r>
                </w:p>
              </w:tc>
              <w:tc>
                <w:tcPr>
                  <w:tcW w:w="479" w:type="pct"/>
                  <w:vMerge/>
                  <w:vAlign w:val="center"/>
                </w:tcPr>
                <w:p w:rsidR="00814155" w:rsidRPr="00D34572" w:rsidP="00E254A0" w14:paraId="2A272895" w14:textId="77777777">
                  <w:pPr>
                    <w:jc w:val="center"/>
                  </w:pPr>
                </w:p>
              </w:tc>
              <w:tc>
                <w:tcPr>
                  <w:tcW w:w="574" w:type="pct"/>
                  <w:vAlign w:val="center"/>
                </w:tcPr>
                <w:p w:rsidR="00814155" w:rsidRPr="00D34572" w:rsidP="00E254A0" w14:paraId="3B4C9680" w14:textId="77777777">
                  <w:pPr>
                    <w:jc w:val="center"/>
                  </w:pPr>
                  <w:r w:rsidRPr="00D34572">
                    <w:t>394</w:t>
                  </w:r>
                </w:p>
              </w:tc>
              <w:tc>
                <w:tcPr>
                  <w:tcW w:w="479" w:type="pct"/>
                  <w:vMerge/>
                  <w:vAlign w:val="center"/>
                </w:tcPr>
                <w:p w:rsidR="00814155" w:rsidRPr="00D34572" w:rsidP="00E254A0" w14:paraId="04367316" w14:textId="77777777">
                  <w:pPr>
                    <w:jc w:val="center"/>
                  </w:pPr>
                </w:p>
              </w:tc>
            </w:tr>
            <w:tr w14:paraId="77603CF7" w14:textId="77777777" w:rsidTr="0098241D">
              <w:tblPrEx>
                <w:tblW w:w="5000" w:type="pct"/>
                <w:tblLook w:val="04A0"/>
              </w:tblPrEx>
              <w:trPr>
                <w:trHeight w:val="544"/>
              </w:trPr>
              <w:tc>
                <w:tcPr>
                  <w:tcW w:w="2701" w:type="pct"/>
                  <w:vMerge w:val="restart"/>
                </w:tcPr>
                <w:p w:rsidR="00814155" w:rsidRPr="00D34572" w:rsidP="00E254A0" w14:paraId="024A4F31" w14:textId="77777777">
                  <w:r w:rsidRPr="00D34572">
                    <w:t>Jauno zinātnieku skaits (pilnas slodzes ekvivalents), kuriem projekta īstenošanas ietvaros pilnveidota kompetence, ieskaitot karjeras izaugsmes un personāla atjaunotnes procesus</w:t>
                  </w:r>
                </w:p>
              </w:tc>
              <w:tc>
                <w:tcPr>
                  <w:tcW w:w="766" w:type="pct"/>
                </w:tcPr>
                <w:p w:rsidR="00814155" w:rsidRPr="00D34572" w:rsidP="00E254A0" w14:paraId="77CCC6E4" w14:textId="77777777">
                  <w:r w:rsidRPr="00D34572">
                    <w:t>1.1.1.1.</w:t>
                  </w:r>
                </w:p>
              </w:tc>
              <w:tc>
                <w:tcPr>
                  <w:tcW w:w="1" w:type="pct"/>
                  <w:gridSpan w:val="2"/>
                  <w:vMerge w:val="restart"/>
                  <w:vAlign w:val="center"/>
                </w:tcPr>
                <w:p w:rsidR="00814155" w:rsidRPr="00D34572" w:rsidP="00814155" w14:paraId="71AB060C" w14:textId="40AC37C8">
                  <w:pPr>
                    <w:jc w:val="center"/>
                  </w:pPr>
                  <w:r w:rsidRPr="00D34572">
                    <w:t>n/a</w:t>
                  </w:r>
                </w:p>
              </w:tc>
              <w:tc>
                <w:tcPr>
                  <w:tcW w:w="479" w:type="pct"/>
                  <w:vMerge w:val="restart"/>
                  <w:vAlign w:val="center"/>
                </w:tcPr>
                <w:p w:rsidR="00814155" w:rsidRPr="00D34572" w:rsidP="00E254A0" w14:paraId="4913EA9A" w14:textId="77777777">
                  <w:pPr>
                    <w:jc w:val="center"/>
                  </w:pPr>
                  <w:r w:rsidRPr="00FA326D">
                    <w:rPr>
                      <w:szCs w:val="24"/>
                    </w:rPr>
                    <w:t>403</w:t>
                  </w:r>
                </w:p>
              </w:tc>
            </w:tr>
            <w:tr w14:paraId="1D141A3B" w14:textId="77777777" w:rsidTr="00814155">
              <w:tblPrEx>
                <w:tblW w:w="5000" w:type="pct"/>
                <w:tblLook w:val="04A0"/>
              </w:tblPrEx>
              <w:tc>
                <w:tcPr>
                  <w:tcW w:w="2428" w:type="pct"/>
                  <w:vMerge/>
                </w:tcPr>
                <w:p w:rsidR="00814155" w:rsidRPr="00D34572" w:rsidP="00E254A0" w14:paraId="420FB901" w14:textId="77777777"/>
              </w:tc>
              <w:tc>
                <w:tcPr>
                  <w:tcW w:w="778" w:type="pct"/>
                </w:tcPr>
                <w:p w:rsidR="00814155" w:rsidRPr="00D34572" w:rsidP="00E254A0" w14:paraId="70393D24" w14:textId="77777777">
                  <w:r w:rsidRPr="00D34572">
                    <w:t>1.1.1.2.</w:t>
                  </w:r>
                </w:p>
              </w:tc>
              <w:tc>
                <w:tcPr>
                  <w:tcW w:w="776" w:type="pct"/>
                  <w:gridSpan w:val="2"/>
                  <w:vMerge/>
                  <w:vAlign w:val="center"/>
                </w:tcPr>
                <w:p w:rsidR="00814155" w:rsidRPr="00D34572" w:rsidP="00E254A0" w14:paraId="0DFA8F1E" w14:textId="18E4EA7A">
                  <w:pPr>
                    <w:jc w:val="center"/>
                  </w:pPr>
                </w:p>
              </w:tc>
              <w:tc>
                <w:tcPr>
                  <w:tcW w:w="1017" w:type="pct"/>
                  <w:vMerge/>
                  <w:vAlign w:val="center"/>
                </w:tcPr>
                <w:p w:rsidR="00814155" w:rsidRPr="00D34572" w:rsidP="00E254A0" w14:paraId="60511B1B" w14:textId="77777777">
                  <w:pPr>
                    <w:jc w:val="center"/>
                  </w:pPr>
                </w:p>
              </w:tc>
            </w:tr>
          </w:tbl>
          <w:p w:rsidR="00E254A0" w:rsidP="00160F57" w14:paraId="0A784201" w14:textId="77777777">
            <w:pPr>
              <w:pStyle w:val="ListParagraph"/>
            </w:pPr>
            <w:r>
              <w:t>* paskaidrojums grozījumiem:</w:t>
            </w:r>
          </w:p>
          <w:p w:rsidR="00814155" w:rsidP="00160F57" w14:paraId="29E4D1EB" w14:textId="32C81ACA">
            <w:pPr>
              <w:pStyle w:val="ListParagraph"/>
            </w:pPr>
            <w:r>
              <w:t xml:space="preserve">Atbilstoši </w:t>
            </w:r>
            <w:r>
              <w:t>IZM Vadošajā iestādē iesniegtajiem priekšlikumiem darbības programm</w:t>
            </w:r>
            <w:r w:rsidR="00016D1C">
              <w:t>ā</w:t>
            </w:r>
            <w:r>
              <w:t xml:space="preserve"> </w:t>
            </w:r>
            <w:r w:rsidR="00016D1C">
              <w:t xml:space="preserve">SAM 1.1.1. pasākumiem noteikto iznākuma rādītāju grozījumi veikti, ņemot vērā šādus </w:t>
            </w:r>
            <w:r>
              <w:t>apstākļus</w:t>
            </w:r>
            <w:r w:rsidR="00016D1C">
              <w:t>:</w:t>
            </w:r>
          </w:p>
          <w:p w:rsidR="00274252" w:rsidRPr="00035354" w:rsidP="00160F57" w14:paraId="0734EFD3" w14:textId="6354D866">
            <w:pPr>
              <w:pStyle w:val="ListParagraph"/>
            </w:pPr>
            <w:r>
              <w:t>–</w:t>
            </w:r>
            <w:r w:rsidR="00016D1C">
              <w:t> </w:t>
            </w:r>
            <w:r w:rsidRPr="00035354" w:rsidR="00016D1C">
              <w:t xml:space="preserve">valsts budžeta P&amp;A finansējuma negatīvā dinamika attiecībā pret sākotnēji plānoto, kā rezultātā samazinās zinātnisko institūciju finansiālā </w:t>
            </w:r>
            <w:r w:rsidRPr="00035354" w:rsidR="00016D1C">
              <w:t>kapcitāte, lai uzņemtos saistības nodrošināt cilvēkkapitāla</w:t>
            </w:r>
            <w:r w:rsidRPr="00035354">
              <w:t xml:space="preserve"> attīstību ilgtermiņā;</w:t>
            </w:r>
          </w:p>
          <w:p w:rsidR="00274252" w:rsidRPr="00035354" w:rsidP="00160F57" w14:paraId="4F631EBB" w14:textId="6D1B573F">
            <w:pPr>
              <w:pStyle w:val="ListParagraph"/>
            </w:pPr>
            <w:r w:rsidRPr="00035354">
              <w:t>–</w:t>
            </w:r>
            <w:r w:rsidRPr="00035354">
              <w:t> viena pētniecības pieteikuma īstenošanai paredzētā publiskā finansējuma pieaugums par 33 % pēcdoktorantūras pētniecības programmas ietvaros, kā rezultātā samazinās finansēto pēcdoktorantu pētniecības pieteikumu skaits.</w:t>
            </w:r>
          </w:p>
          <w:p w:rsidR="00F1716C" w:rsidP="00160F57" w14:paraId="61CD8009" w14:textId="040B2D6F">
            <w:pPr>
              <w:pStyle w:val="ListParagraph"/>
            </w:pPr>
            <w:r>
              <w:t>2. </w:t>
            </w:r>
            <w:r w:rsidR="0013620F">
              <w:t>V</w:t>
            </w:r>
            <w:r>
              <w:t xml:space="preserve">eikt </w:t>
            </w:r>
            <w:r w:rsidRPr="002368F8">
              <w:t>projektu iesniegumu atlases nosacījumu aktualizācij</w:t>
            </w:r>
            <w:r>
              <w:t>u</w:t>
            </w:r>
            <w:r w:rsidRPr="002368F8">
              <w:t>, nosakot papildu stimulus tādu projektu atbalstam, kuru ietvaros plānots izveidot jaunas pētnieku darba vietas</w:t>
            </w:r>
            <w:r w:rsidR="00C56BA7">
              <w:t>, ta</w:t>
            </w:r>
            <w:r w:rsidR="00955633">
              <w:t>jā</w:t>
            </w:r>
            <w:r w:rsidR="00C56BA7">
              <w:t xml:space="preserve"> skaitā</w:t>
            </w:r>
            <w:r w:rsidRPr="002368F8">
              <w:t xml:space="preserve"> piesaist</w:t>
            </w:r>
            <w:r w:rsidR="00C56BA7">
              <w:t>o</w:t>
            </w:r>
            <w:r w:rsidRPr="002368F8">
              <w:t>t ārvalstu viespētniekus (pēcdoktorantus) (skat</w:t>
            </w:r>
            <w:r w:rsidR="00F06435">
              <w:t>.</w:t>
            </w:r>
            <w:r w:rsidRPr="002368F8">
              <w:t xml:space="preserve"> </w:t>
            </w:r>
            <w:r w:rsidR="00F06435">
              <w:t>šī ziņojuma 3.1.1</w:t>
            </w:r>
            <w:r w:rsidRPr="002368F8">
              <w:t>.sadaļ</w:t>
            </w:r>
            <w:r w:rsidR="00F06435">
              <w:t xml:space="preserve">as 7. punktu un 3.1.2. sadaļas </w:t>
            </w:r>
            <w:r w:rsidR="00D61EB4">
              <w:t>3.1</w:t>
            </w:r>
            <w:r w:rsidR="00F06435">
              <w:t>. apakšpunktu</w:t>
            </w:r>
            <w:r w:rsidRPr="002368F8">
              <w:t>)</w:t>
            </w:r>
            <w:r w:rsidR="0013620F">
              <w:t>.</w:t>
            </w:r>
          </w:p>
          <w:p w:rsidR="00912B4C" w:rsidP="00160F57" w14:paraId="23B5D38E" w14:textId="5CA5C0E6">
            <w:pPr>
              <w:pStyle w:val="ListParagraph"/>
            </w:pPr>
            <w:r>
              <w:t>3. </w:t>
            </w:r>
            <w:r w:rsidR="0013620F">
              <w:t>V</w:t>
            </w:r>
            <w:r>
              <w:t>eikt grozījumus MK noteikumos par SAM 1.1.1. pasākumu īstenošanu</w:t>
            </w:r>
            <w:r w:rsidR="001C07A2">
              <w:t xml:space="preserve">, </w:t>
            </w:r>
            <w:r>
              <w:t xml:space="preserve">papildinot </w:t>
            </w:r>
            <w:r w:rsidR="001C07A2">
              <w:t xml:space="preserve">noteikumus </w:t>
            </w:r>
            <w:r>
              <w:t>ar terminu “jaun</w:t>
            </w:r>
            <w:r w:rsidR="001C07A2">
              <w:t>u</w:t>
            </w:r>
            <w:r>
              <w:t xml:space="preserve"> pētniek</w:t>
            </w:r>
            <w:r w:rsidR="001C07A2">
              <w:t>u</w:t>
            </w:r>
            <w:r>
              <w:t xml:space="preserve"> </w:t>
            </w:r>
            <w:r w:rsidR="001C07A2">
              <w:t>skaits atbalstītajās vienībās</w:t>
            </w:r>
            <w:r w:rsidR="00C310FC">
              <w:t>”</w:t>
            </w:r>
            <w:r w:rsidR="00044C0F">
              <w:t xml:space="preserve"> </w:t>
            </w:r>
            <w:r w:rsidRPr="002368F8" w:rsidR="00044C0F">
              <w:t>(skat</w:t>
            </w:r>
            <w:r w:rsidR="00044C0F">
              <w:t>.</w:t>
            </w:r>
            <w:r w:rsidRPr="002368F8" w:rsidR="00044C0F">
              <w:t xml:space="preserve"> </w:t>
            </w:r>
            <w:r w:rsidR="00044C0F">
              <w:t>šī ziņojuma 3.1.1</w:t>
            </w:r>
            <w:r w:rsidRPr="002368F8" w:rsidR="00044C0F">
              <w:t>.sadaļ</w:t>
            </w:r>
            <w:r w:rsidR="00044C0F">
              <w:t>as 7. punktu un 3.2.2. sadaļas 1. punktu</w:t>
            </w:r>
            <w:r w:rsidRPr="002368F8" w:rsidR="00044C0F">
              <w:t>)</w:t>
            </w:r>
            <w:r w:rsidR="0013620F">
              <w:t>.</w:t>
            </w:r>
            <w:r w:rsidR="001C07A2">
              <w:t xml:space="preserve"> </w:t>
            </w:r>
          </w:p>
          <w:p w:rsidR="00F1716C" w:rsidRPr="00467EBF" w:rsidP="00160F57" w14:paraId="1181B2D9" w14:textId="1E279EB5">
            <w:pPr>
              <w:pStyle w:val="ListParagraph"/>
            </w:pPr>
            <w:r>
              <w:t>4</w:t>
            </w:r>
            <w:r>
              <w:t>. </w:t>
            </w:r>
            <w:r w:rsidRPr="00035354" w:rsidR="00853E5E">
              <w:t xml:space="preserve">Lai sekmētu iznākuma rādītāja i.1.1.1.bk (CO24)) izpildi, </w:t>
            </w:r>
            <w:r w:rsidR="00853E5E">
              <w:rPr>
                <w:b/>
              </w:rPr>
              <w:t>p</w:t>
            </w:r>
            <w:r w:rsidR="0053110A">
              <w:t xml:space="preserve">aredzēt, ka </w:t>
            </w:r>
            <w:r w:rsidR="009737CD">
              <w:t>Pēcdoktorantūras pētījumu programmas</w:t>
            </w:r>
            <w:r w:rsidRPr="00467EBF" w:rsidR="009737CD">
              <w:t xml:space="preserve"> </w:t>
            </w:r>
            <w:r w:rsidR="009737CD">
              <w:t xml:space="preserve">pirmās un turpmāko kārtu ietvaros </w:t>
            </w:r>
            <w:r w:rsidRPr="00467EBF">
              <w:t>līgumu</w:t>
            </w:r>
            <w:r w:rsidR="00EF7C59">
              <w:t xml:space="preserve"> </w:t>
            </w:r>
            <w:r w:rsidR="009737CD">
              <w:t xml:space="preserve">par pētniecības pieteikuma / projekta īstenošanu </w:t>
            </w:r>
            <w:r>
              <w:t xml:space="preserve">slēdz ar institūciju, kas nodrošina šādu nosacījumu izpildi: </w:t>
            </w:r>
          </w:p>
          <w:p w:rsidR="00F1716C" w:rsidP="00160F57" w14:paraId="37B6F484" w14:textId="61D236B1">
            <w:pPr>
              <w:pStyle w:val="ListParagraph"/>
            </w:pPr>
            <w:r>
              <w:t>4</w:t>
            </w:r>
            <w:r>
              <w:t>.1. </w:t>
            </w:r>
            <w:r w:rsidR="005445E5">
              <w:t xml:space="preserve"> </w:t>
            </w:r>
            <w:r>
              <w:t xml:space="preserve">konkrētā projekta īstenošanas rezultātā palielinās kopējais institūcijā nodarbināto </w:t>
            </w:r>
            <w:r w:rsidR="00853E5E">
              <w:t xml:space="preserve">jauno </w:t>
            </w:r>
            <w:r>
              <w:t xml:space="preserve">pētnieku (zinātnes tehniskais personāls, </w:t>
            </w:r>
            <w:r w:rsidR="00853E5E">
              <w:t>zinātniskais personāls</w:t>
            </w:r>
            <w:r>
              <w:t>) skaits PLE izteiksmē:</w:t>
            </w:r>
          </w:p>
          <w:p w:rsidR="005A44A6" w:rsidRPr="00F77DD2" w:rsidP="00160F57" w14:paraId="00CF42F3" w14:textId="13678C3D">
            <w:pPr>
              <w:pStyle w:val="ListParagraph"/>
            </w:pPr>
            <w:r>
              <w:t>4</w:t>
            </w:r>
            <w:r w:rsidR="00F1716C">
              <w:t>.2.</w:t>
            </w:r>
            <w:r w:rsidR="005445E5">
              <w:t>  </w:t>
            </w:r>
            <w:r w:rsidR="002A414E">
              <w:t xml:space="preserve">Pēcdoktorantūras pētījumu programmas </w:t>
            </w:r>
            <w:r w:rsidR="005445E5">
              <w:t>ietvaros</w:t>
            </w:r>
            <w:r>
              <w:t xml:space="preserve"> </w:t>
            </w:r>
            <w:r w:rsidRPr="00F77DD2">
              <w:t>zinātniskā institūcija izveido jaunu pētnieka amata vietu pēcdoktorantam, kurš jau šobrīd zinātniskajā institūcijā veic pētnieka amata pienākumus, vienlaikus nodrošina šādu nosacījumu izpildi:</w:t>
            </w:r>
          </w:p>
          <w:p w:rsidR="005A44A6" w:rsidRPr="00F77DD2" w:rsidP="00160F57" w14:paraId="2A481355" w14:textId="77777777">
            <w:pPr>
              <w:pStyle w:val="ListParagraph"/>
            </w:pPr>
            <w:r w:rsidRPr="00F77DD2">
              <w:t>– jaunizveidotajā amata aprakstā pēcdoktorantam nosaka jaunus pienākumus, kompetences un atbildību;</w:t>
            </w:r>
          </w:p>
          <w:p w:rsidR="005A44A6" w:rsidRPr="00F77DD2" w:rsidP="00160F57" w14:paraId="2A1A806B" w14:textId="77777777">
            <w:pPr>
              <w:pStyle w:val="ListParagraph"/>
            </w:pPr>
            <w:r w:rsidRPr="00F77DD2">
              <w:t xml:space="preserve">– izsludina konkursu uz pēcdoktoranta sākotnējo amata vietu un noslēdz darba līgumu ar tādu personu pēcdoktoranta līdzšinējo amata pienākumu veikšanai, kas a) nav bijusi darba tiesiskajās attiecības ar </w:t>
            </w:r>
            <w:r w:rsidRPr="00F77DD2">
              <w:t xml:space="preserve">zinātnisko institūciju; vai b) zinātniskajā institūcijā veikusi zinātni apkalpojošā vai zinātnes tehniskā personāla amata pienākumus; </w:t>
            </w:r>
          </w:p>
          <w:p w:rsidR="00853E5E" w:rsidP="00160F57" w14:paraId="55BD545C" w14:textId="776DA1B5">
            <w:pPr>
              <w:pStyle w:val="ListParagraph"/>
            </w:pPr>
            <w:r w:rsidRPr="00F77DD2">
              <w:t>–</w:t>
            </w:r>
            <w:r w:rsidRPr="00F77DD2">
              <w:tab/>
              <w:t xml:space="preserve">likvidē līdzšinējo pēcdoktoranta amata vietu un zinātniskās institūcijas ietvaros a) izveido un izsludina konkursu uz citu, zemāka zinātniskā personāla amata vietu tādā noslodzē, kādā iepriekš strādāja pēcdoktorants pēdējo 6 mēnešu laikā vidēji uz līguma īstenošanas uzsākšanas brīdi, un pieņem darbā </w:t>
            </w:r>
            <w:r w:rsidRPr="00F77DD2" w:rsidR="00752994">
              <w:t>personu</w:t>
            </w:r>
            <w:r w:rsidRPr="00F77DD2">
              <w:t>, kur</w:t>
            </w:r>
            <w:r w:rsidRPr="00F77DD2" w:rsidR="00752994">
              <w:t>a</w:t>
            </w:r>
            <w:r w:rsidRPr="00F77DD2">
              <w:t xml:space="preserve"> līdz šim </w:t>
            </w:r>
            <w:r w:rsidRPr="00F77DD2" w:rsidR="00752994">
              <w:t xml:space="preserve">institūcijā </w:t>
            </w:r>
            <w:r w:rsidRPr="00F77DD2">
              <w:t xml:space="preserve">nav </w:t>
            </w:r>
            <w:r w:rsidRPr="00F77DD2" w:rsidR="00752994">
              <w:t>ie</w:t>
            </w:r>
            <w:r w:rsidRPr="00F77DD2">
              <w:t>vēlēt</w:t>
            </w:r>
            <w:r w:rsidRPr="00F77DD2" w:rsidR="00752994">
              <w:t>a zinātniskā personāla amatā</w:t>
            </w:r>
            <w:r w:rsidRPr="00F77DD2">
              <w:t xml:space="preserve"> un nav </w:t>
            </w:r>
            <w:r w:rsidRPr="00F77DD2" w:rsidR="00AA20B9">
              <w:t>vei</w:t>
            </w:r>
            <w:r w:rsidRPr="00F77DD2" w:rsidR="00752994">
              <w:t>kusi</w:t>
            </w:r>
            <w:r w:rsidRPr="00F77DD2">
              <w:t xml:space="preserve"> zinātniskā personāla vai zinātnes tehniskā personāla amat</w:t>
            </w:r>
            <w:r w:rsidRPr="00F77DD2" w:rsidR="00AA20B9">
              <w:t>a pienākumus</w:t>
            </w:r>
            <w:r w:rsidRPr="00F77DD2">
              <w:t xml:space="preserve">; b) daļu no pēcdoktoranta līdzšinējiem amata pienākumiem pārdala citiem institūcijas </w:t>
            </w:r>
            <w:r w:rsidRPr="00F77DD2" w:rsidR="00752994">
              <w:t xml:space="preserve">zinātniskajiem </w:t>
            </w:r>
            <w:r w:rsidRPr="00F77DD2">
              <w:t xml:space="preserve">darbiniekiem, </w:t>
            </w:r>
            <w:r w:rsidRPr="00F77DD2" w:rsidR="00752994">
              <w:t xml:space="preserve">c) </w:t>
            </w:r>
            <w:r w:rsidRPr="00F77DD2">
              <w:t xml:space="preserve">zinātniskās institūcijas ietvaros izveido un izsludina konkursu uz citu, zemāka zinātniskā personāla amata vietu, un pieņem darbā </w:t>
            </w:r>
            <w:r w:rsidRPr="00F77DD2" w:rsidR="00AA20B9">
              <w:t>personu</w:t>
            </w:r>
            <w:r w:rsidRPr="00F77DD2">
              <w:t>, kur</w:t>
            </w:r>
            <w:r w:rsidRPr="00F77DD2" w:rsidR="00AA20B9">
              <w:t>a</w:t>
            </w:r>
            <w:r w:rsidRPr="00F77DD2">
              <w:t xml:space="preserve"> līdz šim </w:t>
            </w:r>
            <w:r w:rsidRPr="00F77DD2" w:rsidR="00752994">
              <w:t xml:space="preserve">institūcijā </w:t>
            </w:r>
            <w:r w:rsidRPr="00F77DD2">
              <w:t xml:space="preserve">nav </w:t>
            </w:r>
            <w:r w:rsidRPr="00F77DD2" w:rsidR="00752994">
              <w:t>ie</w:t>
            </w:r>
            <w:r w:rsidRPr="00F77DD2">
              <w:t>vēlēt</w:t>
            </w:r>
            <w:r w:rsidRPr="00F77DD2" w:rsidR="00752994">
              <w:t>a zinātniskā personāla amatā,</w:t>
            </w:r>
            <w:r w:rsidRPr="00F77DD2">
              <w:t xml:space="preserve"> nav </w:t>
            </w:r>
            <w:r w:rsidRPr="00F77DD2" w:rsidR="00752994">
              <w:t>veikusi</w:t>
            </w:r>
            <w:r w:rsidRPr="00F77DD2">
              <w:t xml:space="preserve"> zinātniskā personāla vai zinātniski tehniskā personāla amat</w:t>
            </w:r>
            <w:r w:rsidRPr="00F77DD2" w:rsidR="00752994">
              <w:t>a pienākumus un kura veiks daļu no pēcdoktoranta amata pienākumiem</w:t>
            </w:r>
            <w:r w:rsidRPr="00F77DD2">
              <w:t>.</w:t>
            </w:r>
          </w:p>
        </w:tc>
      </w:tr>
      <w:tr w14:paraId="12E8B704" w14:textId="77777777" w:rsidTr="00D34572">
        <w:tblPrEx>
          <w:tblW w:w="5000" w:type="pct"/>
          <w:tblLook w:val="04A0"/>
        </w:tblPrEx>
        <w:tc>
          <w:tcPr>
            <w:tcW w:w="191" w:type="pct"/>
          </w:tcPr>
          <w:p w:rsidR="00400519" w:rsidRPr="000103F4" w:rsidP="008212DF" w14:paraId="2F8535C0" w14:textId="289ED2E3">
            <w:r w:rsidRPr="000103F4">
              <w:t>II.</w:t>
            </w:r>
          </w:p>
        </w:tc>
        <w:tc>
          <w:tcPr>
            <w:tcW w:w="4809" w:type="pct"/>
            <w:gridSpan w:val="3"/>
          </w:tcPr>
          <w:p w:rsidR="00613C01" w:rsidRPr="00C3755E" w:rsidP="00613C01" w14:paraId="246BCA43" w14:textId="77777777">
            <w:pPr>
              <w:rPr>
                <w:b/>
              </w:rPr>
            </w:pPr>
            <w:r w:rsidRPr="00C3755E">
              <w:rPr>
                <w:b/>
              </w:rPr>
              <w:t xml:space="preserve">Risinājumi, lai sekmētu </w:t>
            </w:r>
            <w:r w:rsidRPr="00C3755E">
              <w:rPr>
                <w:b/>
              </w:rPr>
              <w:t xml:space="preserve">1) </w:t>
            </w:r>
            <w:r w:rsidRPr="00C3755E">
              <w:rPr>
                <w:b/>
              </w:rPr>
              <w:t xml:space="preserve">saimnieciskās darbības veicēju (komersantu) iesaisti pētniecības īstenošanā un </w:t>
            </w:r>
            <w:r w:rsidRPr="00C3755E" w:rsidR="000103F4">
              <w:rPr>
                <w:b/>
              </w:rPr>
              <w:t>līdz</w:t>
            </w:r>
            <w:r w:rsidRPr="00C3755E">
              <w:rPr>
                <w:b/>
              </w:rPr>
              <w:t>finansēšanā</w:t>
            </w:r>
            <w:r w:rsidRPr="00C3755E">
              <w:rPr>
                <w:b/>
              </w:rPr>
              <w:t xml:space="preserve"> un 2) šādu iznākuma rādītāju izpildi: </w:t>
            </w:r>
          </w:p>
          <w:p w:rsidR="00613C01" w:rsidRPr="00C3755E" w:rsidP="00613C01" w14:paraId="563B3911" w14:textId="77777777">
            <w:pPr>
              <w:rPr>
                <w:b/>
              </w:rPr>
            </w:pPr>
            <w:r w:rsidRPr="00C3755E">
              <w:rPr>
                <w:b/>
              </w:rPr>
              <w:t>•</w:t>
            </w:r>
            <w:r w:rsidRPr="00C3755E">
              <w:rPr>
                <w:b/>
              </w:rPr>
              <w:tab/>
              <w:t>jauno produktu un tehnoloģiju skaits, kas ir komercializējami un kuru izstrādei sniegts atbalsts (i.1.1.1.g):</w:t>
            </w:r>
          </w:p>
          <w:p w:rsidR="00613C01" w:rsidRPr="00C3755E" w:rsidP="00613C01" w14:paraId="39091B04" w14:textId="77777777">
            <w:pPr>
              <w:rPr>
                <w:b/>
              </w:rPr>
            </w:pPr>
            <w:r w:rsidRPr="00C3755E">
              <w:rPr>
                <w:b/>
              </w:rPr>
              <w:t>•</w:t>
            </w:r>
            <w:r w:rsidRPr="00C3755E">
              <w:rPr>
                <w:b/>
              </w:rPr>
              <w:tab/>
              <w:t>privātās investīcijas, kas papildina valsts atbalstu inovācijām vai pētniecības un izstrādes projektiem (i.1.1.1.f);</w:t>
            </w:r>
          </w:p>
          <w:p w:rsidR="00400519" w:rsidRPr="00C3755E" w:rsidP="00613C01" w14:paraId="2D5E3A20" w14:textId="77777777">
            <w:pPr>
              <w:rPr>
                <w:b/>
              </w:rPr>
            </w:pPr>
            <w:r w:rsidRPr="00C3755E">
              <w:rPr>
                <w:b/>
              </w:rPr>
              <w:t>•</w:t>
            </w:r>
            <w:r w:rsidRPr="00C3755E">
              <w:rPr>
                <w:b/>
              </w:rPr>
              <w:tab/>
              <w:t>komersantu skaits, kuri sadarbojas ar pētniecības organizāciju (i.1.1.1.ck (CO26)).</w:t>
            </w:r>
          </w:p>
        </w:tc>
      </w:tr>
      <w:tr w14:paraId="5E2942E7" w14:textId="77777777" w:rsidTr="00D34572">
        <w:tblPrEx>
          <w:tblW w:w="5000" w:type="pct"/>
          <w:tblLook w:val="04A0"/>
        </w:tblPrEx>
        <w:tc>
          <w:tcPr>
            <w:tcW w:w="191" w:type="pct"/>
          </w:tcPr>
          <w:p w:rsidR="00902E37" w:rsidP="008212DF" w14:paraId="04C1E2AF" w14:textId="77777777">
            <w:r>
              <w:fldChar w:fldCharType="begin"/>
            </w:r>
            <w:r>
              <w:instrText xml:space="preserve"> AUTONUM  </w:instrText>
            </w:r>
            <w:r>
              <w:fldChar w:fldCharType="end"/>
            </w:r>
          </w:p>
        </w:tc>
        <w:tc>
          <w:tcPr>
            <w:tcW w:w="1042" w:type="pct"/>
          </w:tcPr>
          <w:p w:rsidR="00902E37" w:rsidP="008212DF" w14:paraId="1D21F8F7" w14:textId="77777777">
            <w:r>
              <w:t xml:space="preserve">Saskaņā ar MK noteikumiem par SAM 1.1.1. pasākumu īstenošanu pētniecības projekta ietvaros atbalstāmi </w:t>
            </w:r>
            <w:r w:rsidRPr="00265D69">
              <w:t xml:space="preserve">fundamentālie pētījumi, kuriem pieejamais publiskais finansējums </w:t>
            </w:r>
            <w:r w:rsidRPr="00265D69">
              <w:t>nepārsniedz 20 procentus no kopējā pētniecībai pieejamā publiskā finansējuma</w:t>
            </w:r>
            <w:r>
              <w:t xml:space="preserve">. </w:t>
            </w:r>
          </w:p>
          <w:p w:rsidR="00902E37" w:rsidP="008212DF" w14:paraId="3B58E7B5" w14:textId="77777777">
            <w:r>
              <w:t>Praktiskas ievirzes pētījumu programmas</w:t>
            </w:r>
            <w:r>
              <w:t xml:space="preserve"> ietvaros p</w:t>
            </w:r>
            <w:r w:rsidRPr="00FD0A11">
              <w:t xml:space="preserve">rojekta iesniegumi, kas paredz tikai fundamentālo pētījumu īstenošanu, tiek vērtēti atsevišķi no </w:t>
            </w:r>
            <w:r>
              <w:t>rūpnieciskajiem</w:t>
            </w:r>
            <w:r w:rsidRPr="00FD0A11">
              <w:t xml:space="preserve"> pētījumiem</w:t>
            </w:r>
            <w:r>
              <w:t xml:space="preserve"> un eksperimentālām izstrādēm.</w:t>
            </w:r>
          </w:p>
          <w:p w:rsidR="00902E37" w:rsidRPr="00FD0A11" w:rsidP="008212DF" w14:paraId="5CBDEBA2" w14:textId="77777777">
            <w:r>
              <w:t xml:space="preserve">Saskaņā ar Regulas Nr. 651/2014 2.panta 83.punktu </w:t>
            </w:r>
            <w:r>
              <w:rPr>
                <w:color w:val="000000"/>
              </w:rPr>
              <w:t>fundamentālie pētījumi ir eksperimentālais vai teorētiskais darbs, ko galvenokārt veic, lai iegūtu jaunas zināšanas par lietām un parādībām, neparedzot nekādu tiešu komerciālu pielietojumu vai izmantošanu.</w:t>
            </w:r>
          </w:p>
          <w:p w:rsidR="00902E37" w:rsidRPr="00FD0A11" w:rsidP="006B1AA5" w14:paraId="7D05A0BB" w14:textId="77777777"/>
        </w:tc>
        <w:tc>
          <w:tcPr>
            <w:tcW w:w="1248" w:type="pct"/>
            <w:vMerge w:val="restart"/>
          </w:tcPr>
          <w:p w:rsidR="00E01746" w:rsidP="006E4064" w14:paraId="5BF421F0" w14:textId="77777777">
            <w:r w:rsidRPr="00F77DD2">
              <w:t xml:space="preserve">Izvērtējot pirmās projektu iesniegumu atlases kārtas rezultātus, secināms, ka pirmajā kārtā piemērotie nosacījumi </w:t>
            </w:r>
            <w:r w:rsidRPr="003A61DA" w:rsidR="004F4C91">
              <w:t>pilnībā</w:t>
            </w:r>
            <w:r w:rsidR="004F4C91">
              <w:t xml:space="preserve"> </w:t>
            </w:r>
            <w:r w:rsidRPr="00F77DD2" w:rsidR="000103F4">
              <w:t xml:space="preserve">nesekmē </w:t>
            </w:r>
            <w:r w:rsidRPr="00F77DD2">
              <w:t xml:space="preserve">tādu projektu atlasi, kuri sniedz vislielāko ieguldījumu SAM 1.1.1. iznākuma </w:t>
            </w:r>
            <w:r w:rsidRPr="00F77DD2">
              <w:t>rādītāju</w:t>
            </w:r>
            <w:r w:rsidRPr="00F77DD2" w:rsidR="000103F4">
              <w:t xml:space="preserve"> </w:t>
            </w:r>
            <w:r w:rsidRPr="00F77DD2">
              <w:t xml:space="preserve">un RIS3 </w:t>
            </w:r>
            <w:r w:rsidRPr="00F77DD2" w:rsidR="000103F4">
              <w:t>mikro līmeņa rādītāju</w:t>
            </w:r>
            <w:r w:rsidRPr="00F77DD2">
              <w:t xml:space="preserve"> </w:t>
            </w:r>
            <w:r w:rsidRPr="00F77DD2" w:rsidR="000103F4">
              <w:t>izpildē</w:t>
            </w:r>
            <w:r>
              <w:t>:</w:t>
            </w:r>
          </w:p>
          <w:p w:rsidR="00902E37" w:rsidRPr="00F77DD2" w:rsidP="00EC5609" w14:paraId="3FC6E5B4" w14:textId="77777777">
            <w:r w:rsidRPr="00F77DD2">
              <w:t>1. </w:t>
            </w:r>
            <w:r w:rsidR="00E01746">
              <w:t xml:space="preserve">atbalstāmās </w:t>
            </w:r>
            <w:r w:rsidRPr="00F77DD2" w:rsidR="000103F4">
              <w:t>darbības. F</w:t>
            </w:r>
            <w:r w:rsidRPr="00F77DD2">
              <w:t xml:space="preserve">undamentālo pētījumu ietvaros gūst </w:t>
            </w:r>
            <w:r w:rsidRPr="003A61DA">
              <w:t xml:space="preserve">jaunas zināšanas par lietām un parādībām, neparedzot tiešu komerciālu pielietojumu vai izmantošanu, </w:t>
            </w:r>
            <w:r w:rsidRPr="003A61DA" w:rsidR="000103F4">
              <w:t xml:space="preserve">tādējādi </w:t>
            </w:r>
            <w:r w:rsidRPr="003A61DA">
              <w:t>augstā fundamentālo pētījumu kvota (</w:t>
            </w:r>
            <w:r w:rsidRPr="00F77DD2">
              <w:t xml:space="preserve">20% no kopējā pētniecībai pieejamā finansējuma) </w:t>
            </w:r>
            <w:r w:rsidRPr="003A61DA">
              <w:t xml:space="preserve">rada šādu </w:t>
            </w:r>
            <w:r w:rsidRPr="00F77DD2">
              <w:t>iznākuma rādītāju izpildes risku:  jauno produktu un tehnoloģiju skaits, kas ir komercializējami un kuru izstrādei sniegts atbalsts (i.1.1.1.g), privātās investīcijas, kas papildina valsts atbalstu inovācijām vai pētniecības un izstrādes projektiem (i.1.1.1.f)</w:t>
            </w:r>
            <w:r w:rsidR="007D688D">
              <w:t>;</w:t>
            </w:r>
            <w:r w:rsidRPr="00F77DD2">
              <w:t xml:space="preserve"> </w:t>
            </w:r>
          </w:p>
          <w:p w:rsidR="00902E37" w:rsidRPr="00F77DD2" w:rsidP="00C67FDB" w14:paraId="4C670B59" w14:textId="77777777">
            <w:r w:rsidRPr="00F77DD2">
              <w:t>2. </w:t>
            </w:r>
            <w:r w:rsidR="00A05F06">
              <w:t>atlases nosacījumi</w:t>
            </w:r>
            <w:r w:rsidRPr="00F77DD2">
              <w:t>:</w:t>
            </w:r>
          </w:p>
          <w:p w:rsidR="00902E37" w:rsidRPr="003A61DA" w:rsidP="006B1AA5" w14:paraId="282B30D2" w14:textId="77777777">
            <w:r w:rsidRPr="00F77DD2">
              <w:t xml:space="preserve">2.1. saskaņā ar projektu iesniegumu atlases kārtību </w:t>
            </w:r>
            <w:r w:rsidRPr="003A61DA" w:rsidR="001E63D3">
              <w:t>Praktiskas ievirzes pētījumu programmas</w:t>
            </w:r>
            <w:r w:rsidRPr="00F77DD2">
              <w:t xml:space="preserve"> pirmās kārtas ietvaros fundamentālo pētījumu projekt</w:t>
            </w:r>
            <w:r w:rsidR="00E01746">
              <w:t>us vērtēja atsevišķi no lietišķo pētījumu projektiem</w:t>
            </w:r>
            <w:r w:rsidRPr="003A61DA">
              <w:t>;</w:t>
            </w:r>
          </w:p>
          <w:p w:rsidR="00902E37" w:rsidRPr="003A61DA" w:rsidP="008212DF" w14:paraId="1BFCB9D0" w14:textId="77777777">
            <w:r>
              <w:t>2.2</w:t>
            </w:r>
            <w:r>
              <w:t>. </w:t>
            </w:r>
            <w:r w:rsidR="00A05F06">
              <w:t>a</w:t>
            </w:r>
            <w:r w:rsidR="005E6693">
              <w:t xml:space="preserve">tlases pasākuma ietvaros noteiktie </w:t>
            </w:r>
            <w:r w:rsidRPr="00887CB9">
              <w:t>stimul</w:t>
            </w:r>
            <w:r>
              <w:t>i</w:t>
            </w:r>
            <w:r w:rsidRPr="00887CB9">
              <w:t xml:space="preserve"> ar saimniecisku </w:t>
            </w:r>
            <w:r w:rsidRPr="00887CB9">
              <w:t>darbību saistītu projektu īstenošanai</w:t>
            </w:r>
            <w:r w:rsidR="005E6693">
              <w:t xml:space="preserve"> nav pietiekami, lai sekmētu komersantu iesaisti pētniecības īstenošanā un līdzfinansēšanā</w:t>
            </w:r>
            <w:r w:rsidRPr="003A61DA" w:rsidR="00A405AA">
              <w:t>.</w:t>
            </w:r>
            <w:r w:rsidRPr="003A61DA">
              <w:t xml:space="preserve"> </w:t>
            </w:r>
            <w:r w:rsidRPr="003A61DA" w:rsidR="00A05F06">
              <w:t>SAM 1.1.1. pasākumu ietvaros kopumā atbalstīti astoņi ar saimniecisku darbību saistīti projekti (9,4% no kopējā īstenošanai apstiprināto projektu skaita Praktiskas ievirzes pētījumu programmas ietvaros un 1% no kopējā īstenošanai apstiprināto projektu skaita Pēcdoktorantūras pētījumu programmas  ietvaros).</w:t>
            </w:r>
          </w:p>
          <w:p w:rsidR="00902E37" w:rsidRPr="00F77DD2" w:rsidP="00705A3F" w14:paraId="49712C04" w14:textId="77777777">
            <w:r w:rsidRPr="003A61DA">
              <w:t>2.</w:t>
            </w:r>
            <w:r w:rsidRPr="003A61DA" w:rsidR="00613C01">
              <w:t>3</w:t>
            </w:r>
            <w:r w:rsidRPr="003A61DA" w:rsidR="00C50871">
              <w:t>.</w:t>
            </w:r>
            <w:r w:rsidRPr="00F77DD2">
              <w:t> </w:t>
            </w:r>
            <w:r w:rsidR="007D688D">
              <w:t xml:space="preserve">praktiskas ievirzes pētījumu atlases kārtībā nav viennozīmīgi skaidri noteikts mehānisms, lai </w:t>
            </w:r>
            <w:r w:rsidR="001F5D0F">
              <w:t>harmonizētu 1.1.1.1. pasākuma un</w:t>
            </w:r>
            <w:r w:rsidRPr="00F77DD2">
              <w:t xml:space="preserve"> pamatprogrammas “Apvārsnis 2020” projektu vērtēšanas noteikum</w:t>
            </w:r>
            <w:r w:rsidR="001F5D0F">
              <w:t>us</w:t>
            </w:r>
            <w:r>
              <w:rPr>
                <w:vertAlign w:val="superscript"/>
              </w:rPr>
              <w:footnoteReference w:id="14"/>
            </w:r>
            <w:r w:rsidR="001F5D0F">
              <w:t>.</w:t>
            </w:r>
          </w:p>
          <w:p w:rsidR="00902E37" w:rsidRPr="00F77DD2" w:rsidP="007D688D" w14:paraId="15B26BEC" w14:textId="77777777">
            <w:r w:rsidRPr="003A61DA">
              <w:t xml:space="preserve"> </w:t>
            </w:r>
          </w:p>
        </w:tc>
        <w:tc>
          <w:tcPr>
            <w:tcW w:w="2519" w:type="pct"/>
            <w:vMerge w:val="restart"/>
          </w:tcPr>
          <w:p w:rsidR="00902E37" w:rsidP="008212DF" w14:paraId="78E307BC" w14:textId="77777777">
            <w:r>
              <w:t xml:space="preserve">Lai sekmētu SAM 1.1.1. iznākuma rādītāju – </w:t>
            </w:r>
            <w:r w:rsidRPr="005F696A">
              <w:t>i.1.1.1.ck (CO26)</w:t>
            </w:r>
            <w:r>
              <w:t xml:space="preserve">, </w:t>
            </w:r>
            <w:r w:rsidRPr="005F696A">
              <w:t>i.1.1.1.f</w:t>
            </w:r>
            <w:r>
              <w:t xml:space="preserve">, </w:t>
            </w:r>
            <w:r w:rsidRPr="00A405AA">
              <w:t>i.1.1.1.g – izpildi</w:t>
            </w:r>
            <w:r>
              <w:t>, plānots:</w:t>
            </w:r>
          </w:p>
          <w:p w:rsidR="00902E37" w:rsidP="008212DF" w14:paraId="38ACB0AE" w14:textId="6C96D2A3">
            <w:r>
              <w:t>1</w:t>
            </w:r>
            <w:r>
              <w:t>. veikt grozījumus MK noteikumos par SAM 1.1.1. pasākumu īstenošanu, tai skaitā samazināt</w:t>
            </w:r>
            <w:r>
              <w:t xml:space="preserve"> attiecīgajā atlases kārtā</w:t>
            </w:r>
            <w:r>
              <w:t xml:space="preserve"> fundamentāliem pētījumiem pieejamo publisko finansējumu</w:t>
            </w:r>
            <w:r w:rsidR="00A012BD">
              <w:t xml:space="preserve"> no 20% uz 10% no </w:t>
            </w:r>
            <w:r w:rsidR="00C3755E">
              <w:t xml:space="preserve">turpmākajās kārtās </w:t>
            </w:r>
            <w:r w:rsidR="00691358">
              <w:t xml:space="preserve">ar saimniecisku darbību nesaistītiem </w:t>
            </w:r>
            <w:r w:rsidR="00A012BD">
              <w:t>projektiem pieejamā kopējā publiskā finansējuma</w:t>
            </w:r>
            <w:r w:rsidR="00C50871">
              <w:t>;</w:t>
            </w:r>
          </w:p>
          <w:p w:rsidR="00902E37" w:rsidP="00B823D3" w14:paraId="5402E6F1" w14:textId="20398AC0">
            <w:r>
              <w:t>2</w:t>
            </w:r>
            <w:r>
              <w:t>. MK noteikumos Nr. 34</w:t>
            </w:r>
            <w:r w:rsidRPr="007B3D6E">
              <w:t xml:space="preserve">  noteikt ar saimniecisku darbību saistītu projektu īstenošanai</w:t>
            </w:r>
            <w:r w:rsidR="00E425D0">
              <w:t xml:space="preserve"> pieejamo finansējumu</w:t>
            </w:r>
            <w:r w:rsidRPr="007B3D6E">
              <w:t>, vienlaikus samazinot ar saimniecisku darbību</w:t>
            </w:r>
            <w:r w:rsidRPr="00016186">
              <w:t xml:space="preserve"> nesaistīt</w:t>
            </w:r>
            <w:r>
              <w:t>u</w:t>
            </w:r>
            <w:r w:rsidRPr="00016186">
              <w:t xml:space="preserve"> projekt</w:t>
            </w:r>
            <w:r>
              <w:t>u ERAF</w:t>
            </w:r>
            <w:r w:rsidRPr="00016186">
              <w:t xml:space="preserve"> atbalsta intensitāti</w:t>
            </w:r>
            <w:r>
              <w:t xml:space="preserve"> un </w:t>
            </w:r>
            <w:r w:rsidRPr="00016186">
              <w:t>aizstājot</w:t>
            </w:r>
            <w:r>
              <w:t xml:space="preserve"> attiecīgo ERAF finansējum</w:t>
            </w:r>
            <w:r w:rsidR="00145052">
              <w:t>u</w:t>
            </w:r>
            <w:r>
              <w:t xml:space="preserve"> </w:t>
            </w:r>
            <w:r w:rsidRPr="00016186">
              <w:t>ar valsts budžeta līdzfinansējumu</w:t>
            </w:r>
            <w:r w:rsidR="00145052">
              <w:t>, kas papildu piešķirts 1.1.1.1. pasākuma ar saimniecisku dar</w:t>
            </w:r>
            <w:r w:rsidR="004371F4">
              <w:t>b</w:t>
            </w:r>
            <w:r w:rsidR="00145052">
              <w:t>ību nesaistītu projektu īstenošanai</w:t>
            </w:r>
            <w:r>
              <w:t xml:space="preserve"> (</w:t>
            </w:r>
            <w:r w:rsidR="00145052">
              <w:t xml:space="preserve">papildu informācija </w:t>
            </w:r>
            <w:r>
              <w:t>šī ziņojuma 3.1.1. sadaļ</w:t>
            </w:r>
            <w:r w:rsidR="00145052">
              <w:t>ā</w:t>
            </w:r>
            <w:r>
              <w:t>).</w:t>
            </w:r>
          </w:p>
          <w:p w:rsidR="00C50871" w:rsidP="00987D90" w14:paraId="0E627C54" w14:textId="70FC949F">
            <w:pPr>
              <w:rPr>
                <w:color w:val="000000"/>
              </w:rPr>
            </w:pPr>
            <w:r>
              <w:t>3</w:t>
            </w:r>
            <w:r w:rsidR="00902E37">
              <w:t>. </w:t>
            </w:r>
            <w:r w:rsidR="00E425D0">
              <w:t>a</w:t>
            </w:r>
            <w:r w:rsidR="00902E37">
              <w:t xml:space="preserve">tbilstoši </w:t>
            </w:r>
            <w:r w:rsidRPr="00A405AA" w:rsidR="00902E37">
              <w:t xml:space="preserve">Regulas Nr. 1290/2013 </w:t>
            </w:r>
            <w:r w:rsidRPr="00420666" w:rsidR="00902E37">
              <w:t xml:space="preserve">40. panta 2. punktam </w:t>
            </w:r>
            <w:r>
              <w:t>paredzēt</w:t>
            </w:r>
            <w:r>
              <w:t xml:space="preserve"> iespēju</w:t>
            </w:r>
            <w:r>
              <w:t>, ka projektu kvalitātes vērtēšanā piesaist</w:t>
            </w:r>
            <w:r w:rsidR="00C3755E">
              <w:t>a</w:t>
            </w:r>
            <w:r>
              <w:t xml:space="preserve"> </w:t>
            </w:r>
            <w:r>
              <w:rPr>
                <w:color w:val="000000"/>
              </w:rPr>
              <w:t>ekspertus ar dažādām prasmēm, pieredzi un zināšanām</w:t>
            </w:r>
            <w:r w:rsidR="007D688D">
              <w:rPr>
                <w:color w:val="000000"/>
              </w:rPr>
              <w:t xml:space="preserve">, tajā skaitā </w:t>
            </w:r>
            <w:r w:rsidRPr="00C50871" w:rsidR="007D688D">
              <w:rPr>
                <w:color w:val="000000"/>
              </w:rPr>
              <w:t>eksperti, k</w:t>
            </w:r>
            <w:r w:rsidR="00BA4AFF">
              <w:rPr>
                <w:color w:val="000000"/>
              </w:rPr>
              <w:t>uriem</w:t>
            </w:r>
            <w:r w:rsidRPr="00C50871" w:rsidR="007D688D">
              <w:rPr>
                <w:color w:val="000000"/>
              </w:rPr>
              <w:t xml:space="preserve"> </w:t>
            </w:r>
            <w:r w:rsidR="007D688D">
              <w:rPr>
                <w:color w:val="000000"/>
              </w:rPr>
              <w:t xml:space="preserve">ir </w:t>
            </w:r>
            <w:r w:rsidRPr="00C50871" w:rsidR="007D688D">
              <w:rPr>
                <w:color w:val="000000"/>
              </w:rPr>
              <w:t>zināšanas projekta izstrādņu atbilstības jauna produkta/tehnoloģijas definīcijai izvērtēšanā; b) prototipu komercializācijas potenciāla novērtēšanā un c) ietekmes uz tautsaimniecības nozares attīstību noteikšanā</w:t>
            </w:r>
            <w:r w:rsidR="00BA4AFF">
              <w:rPr>
                <w:color w:val="000000"/>
              </w:rPr>
              <w:t xml:space="preserve">, lai novērtētu projekta atbilstību kvalitātes kritērijam </w:t>
            </w:r>
            <w:r w:rsidR="00232E00">
              <w:rPr>
                <w:color w:val="000000"/>
              </w:rPr>
              <w:t xml:space="preserve">“Izcilība” un </w:t>
            </w:r>
            <w:r w:rsidR="00BA4AFF">
              <w:rPr>
                <w:color w:val="000000"/>
              </w:rPr>
              <w:t>“Ietekme”</w:t>
            </w:r>
            <w:r>
              <w:rPr>
                <w:color w:val="000000"/>
              </w:rPr>
              <w:t>;</w:t>
            </w:r>
          </w:p>
          <w:p w:rsidR="00987D90" w:rsidRPr="00A405AA" w:rsidP="00987D90" w14:paraId="73484EA5" w14:textId="77777777">
            <w:r>
              <w:t>4</w:t>
            </w:r>
            <w:r w:rsidR="00C50871">
              <w:t>. </w:t>
            </w:r>
            <w:r w:rsidR="001E63D3">
              <w:t>Praktiskas ievirzes pētījumu programmas</w:t>
            </w:r>
            <w:r w:rsidR="00902E37">
              <w:t xml:space="preserve"> atlases nolikumā noteikt, ka </w:t>
            </w:r>
            <w:r w:rsidRPr="00A936F9" w:rsidR="00902E37">
              <w:t> projekta kvalitātes vērtēšanā</w:t>
            </w:r>
            <w:r w:rsidR="00194C17">
              <w:t xml:space="preserve"> lielāks svars ir ietekmes rādītājiem, kas ir saistīti ar </w:t>
            </w:r>
            <w:r w:rsidRPr="00194C17" w:rsidR="00194C17">
              <w:t xml:space="preserve">komersantu </w:t>
            </w:r>
            <w:r w:rsidR="00194C17">
              <w:t>iesaisti projektu īstenošanā vai privātā līdzfinansējuma apjomu</w:t>
            </w:r>
            <w:r w:rsidR="00C50871">
              <w:t>;</w:t>
            </w:r>
          </w:p>
          <w:p w:rsidR="00C3755E" w:rsidP="00987D90" w14:paraId="647423ED" w14:textId="77777777">
            <w:r>
              <w:t>5</w:t>
            </w:r>
            <w:r w:rsidRPr="00E425D0" w:rsidR="00987D90">
              <w:t>. </w:t>
            </w:r>
            <w:r w:rsidR="00C50871">
              <w:t>a</w:t>
            </w:r>
            <w:r w:rsidR="00E425D0">
              <w:t>ktualizēt</w:t>
            </w:r>
            <w:r w:rsidRPr="00E425D0" w:rsidR="00E425D0">
              <w:t xml:space="preserve"> </w:t>
            </w:r>
            <w:r w:rsidR="001E63D3">
              <w:t>Praktiskas ievirzes pētījumu programmas</w:t>
            </w:r>
            <w:r w:rsidRPr="00E425D0" w:rsidR="00E425D0">
              <w:t xml:space="preserve"> projektu iesniegumu vērtēšanas kritērijus</w:t>
            </w:r>
            <w:r>
              <w:t>:</w:t>
            </w:r>
          </w:p>
          <w:p w:rsidR="00C3755E" w:rsidP="00987D90" w14:paraId="490AED92" w14:textId="77777777">
            <w:r>
              <w:t>5.1. </w:t>
            </w:r>
            <w:r w:rsidR="00890538">
              <w:t>pastiprināti tos harmonizējot ar</w:t>
            </w:r>
            <w:r w:rsidR="00987D90">
              <w:t xml:space="preserve"> pamatprogrammas “Apvārsnis 2020” projektu </w:t>
            </w:r>
            <w:r w:rsidRPr="00350228" w:rsidR="00987D90">
              <w:t>iesniegumu vērtēšanas vadlīniju nosacījum</w:t>
            </w:r>
            <w:r w:rsidR="00987D90">
              <w:t>iem</w:t>
            </w:r>
            <w:r>
              <w:t>;</w:t>
            </w:r>
          </w:p>
          <w:p w:rsidR="005E6693" w:rsidP="00987D90" w14:paraId="37FE0F9F" w14:textId="0232FF68">
            <w:r>
              <w:t xml:space="preserve">5.2. papildinot ar kvalitātes kritēriju par </w:t>
            </w:r>
            <w:r w:rsidRPr="00CF21DF" w:rsidR="00CF21DF">
              <w:t>projekta ieguldījumu nozares politikas mērķu sasniegšanā</w:t>
            </w:r>
            <w:r w:rsidR="00987D90">
              <w:t xml:space="preserve"> (skat. šī ziņojuma 3.1.1. sadaļu)</w:t>
            </w:r>
            <w:r>
              <w:t>;</w:t>
            </w:r>
          </w:p>
          <w:p w:rsidR="00902E37" w:rsidRPr="00A405AA" w:rsidP="00987D90" w14:paraId="28AA0E05" w14:textId="592F4C7D">
            <w:r>
              <w:t>6</w:t>
            </w:r>
            <w:r w:rsidR="007D688D">
              <w:t>. </w:t>
            </w:r>
            <w:r w:rsidR="00691358">
              <w:t>Praktiskas ievirzes pētījumu programmas</w:t>
            </w:r>
            <w:r w:rsidRPr="00E425D0" w:rsidR="00691358">
              <w:t xml:space="preserve"> </w:t>
            </w:r>
            <w:r w:rsidR="00691358">
              <w:t xml:space="preserve">ietvaros </w:t>
            </w:r>
            <w:r w:rsidR="007D688D">
              <w:t>s</w:t>
            </w:r>
            <w:r w:rsidRPr="00350228" w:rsidR="00E425D0">
              <w:t>amazin</w:t>
            </w:r>
            <w:r w:rsidR="005E6693">
              <w:t>ā</w:t>
            </w:r>
            <w:r w:rsidRPr="00350228" w:rsidR="00E425D0">
              <w:t>t kvalitātes kritērija par horizontālo prioritāti “zaļais iepirkums” svaru un noteikt, ka projekta iesnieguma atbilstību kvalitātes kritērijam vērtē projektu</w:t>
            </w:r>
            <w:r w:rsidR="00E425D0">
              <w:t xml:space="preserve"> iesniegumu Vērtēšanas komisija.</w:t>
            </w:r>
            <w:r w:rsidRPr="00A405AA">
              <w:t xml:space="preserve"> </w:t>
            </w:r>
          </w:p>
          <w:p w:rsidR="00987D90" w:rsidP="00987D90" w14:paraId="1EE8A5B1" w14:textId="77777777"/>
        </w:tc>
      </w:tr>
      <w:tr w14:paraId="5E0B4500" w14:textId="77777777" w:rsidTr="00D34572">
        <w:tblPrEx>
          <w:tblW w:w="5000" w:type="pct"/>
          <w:tblLook w:val="04A0"/>
        </w:tblPrEx>
        <w:tc>
          <w:tcPr>
            <w:tcW w:w="191" w:type="pct"/>
          </w:tcPr>
          <w:p w:rsidR="00902E37" w:rsidP="008212DF" w14:paraId="6FF87C52" w14:textId="4348C7E4">
            <w:r>
              <w:fldChar w:fldCharType="begin"/>
            </w:r>
            <w:r>
              <w:instrText xml:space="preserve"> AUTONUM  </w:instrText>
            </w:r>
            <w:r>
              <w:fldChar w:fldCharType="end"/>
            </w:r>
          </w:p>
        </w:tc>
        <w:tc>
          <w:tcPr>
            <w:tcW w:w="1042" w:type="pct"/>
          </w:tcPr>
          <w:p w:rsidR="00902E37" w:rsidP="00BA4AFF" w14:paraId="2AC63EEA" w14:textId="196E2ED7">
            <w:r>
              <w:t xml:space="preserve">Atbilstoši Eiropas Parlamenta un Padomes 2013. gada 11. decembra Regulas (ES) Nr. 1290/2013, ar ko nosaka pētniecības un inovācijas </w:t>
            </w:r>
            <w:r>
              <w:t>pamatprogrammas "Apvārsnis 2020" (2014.–2020. gads) dalības un rezultātu izplatīšanas noteikumus un atceļ Regulu (EK) Nr. 1906/2006</w:t>
            </w:r>
            <w:r>
              <w:rPr>
                <w:color w:val="000000"/>
              </w:rPr>
              <w:t xml:space="preserve"> (turpmāk – Regula Nr. 1290/2013) 40. panta </w:t>
            </w:r>
            <w:r>
              <w:t>2. punktam</w:t>
            </w:r>
            <w:r w:rsidR="00BA4AFF">
              <w:t xml:space="preserve">: </w:t>
            </w:r>
            <w:r w:rsidRPr="00BA4AFF" w:rsidR="00BA4AFF">
              <w:rPr>
                <w:i/>
              </w:rPr>
              <w:t>i</w:t>
            </w:r>
            <w:r w:rsidRPr="00BA4AFF" w:rsidR="00BA4AFF">
              <w:rPr>
                <w:i/>
                <w:color w:val="000000"/>
              </w:rPr>
              <w:t>eceļot neatkarīgus ekspertus, Komisija vai attiecīgā finansēšanas struktūra veic pienācīgus pasākumus, lai panāktu ekspertu grupu un izvērtēšanas komisiju līdzsvarotu sastāvu no dažādu prasmju, pieredzes, zināšanu, ģeogrāfiskās pārstāvības un dzimumu viedokļa, ņemot vērā situāciju darbības jomā. Atbilstīgos gadījumos cenšas panākt arī privātā un publiskā sektora līdzsvaru</w:t>
            </w:r>
            <w:r w:rsidRPr="00BA4AFF" w:rsidR="00BA4AFF">
              <w:rPr>
                <w:color w:val="000000"/>
              </w:rPr>
              <w:t>.</w:t>
            </w:r>
          </w:p>
        </w:tc>
        <w:tc>
          <w:tcPr>
            <w:tcW w:w="1248" w:type="pct"/>
            <w:vMerge/>
          </w:tcPr>
          <w:p w:rsidR="00902E37" w:rsidP="00400519" w14:paraId="12686ADB" w14:textId="77777777"/>
        </w:tc>
        <w:tc>
          <w:tcPr>
            <w:tcW w:w="2519" w:type="pct"/>
            <w:vMerge/>
          </w:tcPr>
          <w:p w:rsidR="00902E37" w:rsidP="006C213A" w14:paraId="4AD810D9" w14:textId="77777777"/>
        </w:tc>
      </w:tr>
      <w:tr w14:paraId="714462D7" w14:textId="77777777" w:rsidTr="00D34572">
        <w:tblPrEx>
          <w:tblW w:w="5000" w:type="pct"/>
          <w:tblLook w:val="04A0"/>
        </w:tblPrEx>
        <w:tc>
          <w:tcPr>
            <w:tcW w:w="191" w:type="pct"/>
          </w:tcPr>
          <w:p w:rsidR="00902E37" w:rsidP="008212DF" w14:paraId="7162E79D" w14:textId="77777777">
            <w:r>
              <w:fldChar w:fldCharType="begin"/>
            </w:r>
            <w:r>
              <w:instrText xml:space="preserve"> AUTONUM  </w:instrText>
            </w:r>
            <w:r>
              <w:fldChar w:fldCharType="end"/>
            </w:r>
          </w:p>
        </w:tc>
        <w:tc>
          <w:tcPr>
            <w:tcW w:w="1042" w:type="pct"/>
          </w:tcPr>
          <w:p w:rsidR="00902E37" w:rsidP="006E4064" w14:paraId="7A5C7156" w14:textId="77777777">
            <w:r>
              <w:t xml:space="preserve">Saskaņā ar </w:t>
            </w:r>
            <w:r w:rsidR="001E63D3">
              <w:t>Praktiskas ievirzes pētījumu programmas</w:t>
            </w:r>
            <w:r>
              <w:t xml:space="preserve"> projektu iesniegumu vērtēšanas </w:t>
            </w:r>
            <w:r>
              <w:t xml:space="preserve">kritērijiem noteikts šāds kvalitātes kritēriju svars un minimālais punktu skaits: </w:t>
            </w:r>
          </w:p>
          <w:p w:rsidR="00902E37" w:rsidRPr="00176118" w:rsidP="006E4064" w14:paraId="4774E175" w14:textId="77777777">
            <w:r>
              <w:t>– pētniecības kvalitāte (izcilība): svars “0,5” minimālais punktu skaits “4”</w:t>
            </w:r>
            <w:r w:rsidRPr="00176118">
              <w:t xml:space="preserve">; </w:t>
            </w:r>
          </w:p>
          <w:p w:rsidR="00902E37" w:rsidRPr="00C718DA" w:rsidP="006E4064" w14:paraId="69FA3106" w14:textId="77777777">
            <w:r>
              <w:t>– sociālekonomiskā ietekme: svars “0,3”; minimālais punktu skaits “3,5”</w:t>
            </w:r>
            <w:r w:rsidRPr="00C718DA">
              <w:t>;</w:t>
            </w:r>
          </w:p>
          <w:p w:rsidR="00902E37" w:rsidP="006E4064" w14:paraId="3E37A61F" w14:textId="77777777">
            <w:r>
              <w:t>– īstenošanas kvalitāte un efektivitāte:  svars no “0,2”; minimālais punktu skaits “3”;</w:t>
            </w:r>
          </w:p>
          <w:p w:rsidR="00902E37" w:rsidP="006E4064" w14:paraId="77ECBF29" w14:textId="77777777">
            <w:r>
              <w:t>– kvalitātes kritērija par horizontālo prioritāti “zaļais iepirkums”: – svars “1”. Maksimālais punktu skaits “1”. Projekta iesnieguma atbilstību kvalitātes kritērijam vērtē EK eksperts.</w:t>
            </w:r>
          </w:p>
          <w:p w:rsidR="00902E37" w:rsidP="006E4064" w14:paraId="506E882C" w14:textId="77777777">
            <w:r>
              <w:t>Atbilstoši pamatprogrammas “Apvārsnis 2020” projektu iesniegumu vērtēšanas vadlīnijām:</w:t>
            </w:r>
          </w:p>
          <w:p w:rsidR="00902E37" w:rsidP="006E4064" w14:paraId="3B6AD8A0" w14:textId="77777777">
            <w:r>
              <w:t xml:space="preserve">1) minimālais kopējais punktu skaits kvalitātes </w:t>
            </w:r>
            <w:r>
              <w:t>kritēriju (izcilība, ietekme un īstenošanas kvalitāte un efektivitāte) vērtējumā ir 10 punkti;</w:t>
            </w:r>
          </w:p>
          <w:p w:rsidR="00902E37" w:rsidP="006E4064" w14:paraId="0D054766" w14:textId="77777777">
            <w:r>
              <w:t xml:space="preserve">2) katra kvalitātes kritērija (izcilība, sociālekonomiskā ietekme un īstenošanas kvalitāte un efektivitāte) minimālais nepieciešamais punktu skaits – trīs punkti; </w:t>
            </w:r>
          </w:p>
          <w:p w:rsidR="00902E37" w:rsidP="006E4064" w14:paraId="1E90BC4B" w14:textId="77777777">
            <w:r>
              <w:t>3) kritērijam “ietekme” var piemērot svaru “1,5”.</w:t>
            </w:r>
          </w:p>
        </w:tc>
        <w:tc>
          <w:tcPr>
            <w:tcW w:w="1248" w:type="pct"/>
            <w:vMerge/>
          </w:tcPr>
          <w:p w:rsidR="00902E37" w:rsidP="00400519" w14:paraId="3194517A" w14:textId="77777777"/>
        </w:tc>
        <w:tc>
          <w:tcPr>
            <w:tcW w:w="2519" w:type="pct"/>
            <w:vMerge/>
          </w:tcPr>
          <w:p w:rsidR="00902E37" w:rsidP="00902E37" w14:paraId="2206930F" w14:textId="77777777"/>
        </w:tc>
      </w:tr>
      <w:tr w14:paraId="35974D3B" w14:textId="77777777" w:rsidTr="00D34572">
        <w:tblPrEx>
          <w:tblW w:w="5000" w:type="pct"/>
          <w:tblLook w:val="04A0"/>
        </w:tblPrEx>
        <w:tc>
          <w:tcPr>
            <w:tcW w:w="191" w:type="pct"/>
          </w:tcPr>
          <w:p w:rsidR="00940113" w:rsidP="008212DF" w14:paraId="6790BB61" w14:textId="77777777">
            <w:r>
              <w:t>III.</w:t>
            </w:r>
          </w:p>
        </w:tc>
        <w:tc>
          <w:tcPr>
            <w:tcW w:w="4809" w:type="pct"/>
            <w:gridSpan w:val="3"/>
          </w:tcPr>
          <w:p w:rsidR="00613C01" w:rsidRPr="00613C01" w:rsidP="00B123E2" w14:paraId="36715A05" w14:textId="77777777">
            <w:pPr>
              <w:rPr>
                <w:b/>
              </w:rPr>
            </w:pPr>
            <w:r w:rsidRPr="00613C01">
              <w:rPr>
                <w:b/>
              </w:rPr>
              <w:t>Risinājumi, lai sekmētu tādu projektu atlasi, k</w:t>
            </w:r>
            <w:r w:rsidRPr="00613C01" w:rsidR="00902E37">
              <w:rPr>
                <w:b/>
              </w:rPr>
              <w:t>uriem</w:t>
            </w:r>
            <w:r w:rsidRPr="00613C01">
              <w:rPr>
                <w:b/>
              </w:rPr>
              <w:t xml:space="preserve"> </w:t>
            </w:r>
            <w:r w:rsidRPr="00613C01" w:rsidR="00902E37">
              <w:rPr>
                <w:b/>
              </w:rPr>
              <w:t>vislielākais ieguldījuma potenciāls RIS3 mērķu sasniegšanā</w:t>
            </w:r>
            <w:r>
              <w:rPr>
                <w:b/>
              </w:rPr>
              <w:t xml:space="preserve"> un RIS3 mikro līmeņa rādītāju izpildē</w:t>
            </w:r>
            <w:r w:rsidR="00B123E2">
              <w:rPr>
                <w:b/>
              </w:rPr>
              <w:t>.</w:t>
            </w:r>
          </w:p>
        </w:tc>
      </w:tr>
      <w:tr w14:paraId="2E8E2251" w14:textId="77777777" w:rsidTr="00D34572">
        <w:tblPrEx>
          <w:tblW w:w="5000" w:type="pct"/>
          <w:tblLook w:val="04A0"/>
        </w:tblPrEx>
        <w:tc>
          <w:tcPr>
            <w:tcW w:w="191" w:type="pct"/>
          </w:tcPr>
          <w:p w:rsidR="00940113" w:rsidP="008212DF" w14:paraId="087A9AFE" w14:textId="77777777">
            <w:r>
              <w:fldChar w:fldCharType="begin"/>
            </w:r>
            <w:r>
              <w:instrText xml:space="preserve"> AUTONUM  </w:instrText>
            </w:r>
            <w:r>
              <w:fldChar w:fldCharType="end"/>
            </w:r>
          </w:p>
        </w:tc>
        <w:tc>
          <w:tcPr>
            <w:tcW w:w="1042" w:type="pct"/>
          </w:tcPr>
          <w:p w:rsidR="00940113" w:rsidRPr="008557B0" w:rsidP="008212DF" w14:paraId="6298AB7B" w14:textId="77777777">
            <w:r>
              <w:t>Praktiskas ievirzes pētījumu programmas</w:t>
            </w:r>
            <w:r>
              <w:t xml:space="preserve"> atlases nolikums paredz: </w:t>
            </w:r>
            <w:r w:rsidRPr="008557B0">
              <w:t>ja vairākiem projektu iesniegumiem piešķirts vienāds punktu skaits, priekšroka</w:t>
            </w:r>
            <w:r>
              <w:t xml:space="preserve"> </w:t>
            </w:r>
            <w:r w:rsidRPr="008557B0">
              <w:t>ir:</w:t>
            </w:r>
          </w:p>
          <w:p w:rsidR="00940113" w:rsidRPr="008557B0" w:rsidP="008212DF" w14:paraId="15F78A24" w14:textId="77777777">
            <w:r w:rsidRPr="008557B0">
              <w:t xml:space="preserve">1. projekta iesniegumam, kas tika iesniegts Eiropas Savienības pētniecības un inovāciju pamatprogrammā “Apvārsnis 2020”, tika novērtēts virs kvalitātes </w:t>
            </w:r>
            <w:r w:rsidRPr="008557B0">
              <w:t>sliekšņa, bet nesaņēma finansējumu projekta īstenošanai,</w:t>
            </w:r>
          </w:p>
          <w:p w:rsidR="00940113" w:rsidRPr="008557B0" w:rsidP="008212DF" w14:paraId="547B559A" w14:textId="77777777">
            <w:r>
              <w:t>2.</w:t>
            </w:r>
            <w:r w:rsidRPr="008557B0">
              <w:t xml:space="preserve"> projekta iesniegumam ar lielāku jauno zinātnieku iesaistes līmeni PLE (pilna darba laika ekvivalents) izteiksmē visā projekta īstenošanas periodā; </w:t>
            </w:r>
          </w:p>
          <w:p w:rsidR="00940113" w:rsidP="008212DF" w14:paraId="1A8FDC93" w14:textId="77777777">
            <w:r w:rsidRPr="008557B0">
              <w:t>3.projekta iesniegumam, kurā īstenošana paredzēta sadarbībā ar komersantu un ir piesaistīts lielāks privātā finansējuma īpatsvars.</w:t>
            </w:r>
          </w:p>
          <w:p w:rsidR="00940113" w:rsidP="00596772" w14:paraId="1C0DAEE6" w14:textId="77777777">
            <w:r>
              <w:t>P</w:t>
            </w:r>
            <w:r>
              <w:t>amatprogrammas “Apvārsnis 2020” projektu iesniegumu vērtēšanas vadlīnij</w:t>
            </w:r>
            <w:r>
              <w:t>as nosaka</w:t>
            </w:r>
            <w:r>
              <w:t xml:space="preserve">, </w:t>
            </w:r>
            <w:r w:rsidRPr="00201176">
              <w:t>ja vairākiem projektu iesniegumiem piešķirts vienāds punktu skaits, prioritāri atbalstāmi projekta iesniegumi</w:t>
            </w:r>
            <w:r>
              <w:t xml:space="preserve">, </w:t>
            </w:r>
            <w:r w:rsidRPr="008557B0">
              <w:t xml:space="preserve">kuriem augstāks vērtējums kvalitātes kritērijā </w:t>
            </w:r>
            <w:r>
              <w:t>“</w:t>
            </w:r>
            <w:r>
              <w:t>Izcilība</w:t>
            </w:r>
            <w:r>
              <w:t>”.</w:t>
            </w:r>
          </w:p>
        </w:tc>
        <w:tc>
          <w:tcPr>
            <w:tcW w:w="1248" w:type="pct"/>
          </w:tcPr>
          <w:p w:rsidR="00940113" w:rsidRPr="00A73FEB" w:rsidP="008212DF" w14:paraId="53FB6992" w14:textId="77777777">
            <w:r>
              <w:t>Projektu iesniegumu atlasē piemērotie nosacījumi, kas paredz, ka vienāda punktu skaita gadījumā prioritāri atbalstām</w:t>
            </w:r>
            <w:r w:rsidR="00A167A2">
              <w:t>s</w:t>
            </w:r>
            <w:r>
              <w:t xml:space="preserve"> tas projekts, kuram augstāks jauno zinātnieku iesaistes līmenis vai kuru plānots īstenot sadarbībā ar komersantu, nav pietiekami, lai sekmētu inovācijas sistēmas kapacitātes attīstību, nodrošinot cilvēkkapitāla pieaugumu un </w:t>
            </w:r>
            <w:r w:rsidR="00902E37">
              <w:t xml:space="preserve">uzņēmumu konkurētspējas un produktivitātes pieaugumu, jaunu tirgu radīšanas </w:t>
            </w:r>
            <w:r w:rsidR="007D688D">
              <w:t>iespējas</w:t>
            </w:r>
            <w:r>
              <w:t>.</w:t>
            </w:r>
          </w:p>
          <w:p w:rsidR="00940113" w:rsidP="008212DF" w14:paraId="6F0DF2D5" w14:textId="77777777"/>
        </w:tc>
        <w:tc>
          <w:tcPr>
            <w:tcW w:w="2519" w:type="pct"/>
            <w:vMerge w:val="restart"/>
          </w:tcPr>
          <w:p w:rsidR="00940113" w:rsidRPr="00C50871" w:rsidP="008212DF" w14:paraId="0529CBB2" w14:textId="77777777">
            <w:r w:rsidRPr="00C50871">
              <w:t xml:space="preserve">Lai sekmētu RIS3 mērķu sasniegšanu un iznākuma rādītāju – </w:t>
            </w:r>
            <w:r w:rsidRPr="00F77DD2" w:rsidR="00B123E2">
              <w:t>jaunu pētnieku skaits atbalstītajās vienībās (pilnas slodzes ekvivalents) (</w:t>
            </w:r>
            <w:r w:rsidRPr="00C50871">
              <w:t>i.1.1.1.bk (CO24))</w:t>
            </w:r>
            <w:r w:rsidRPr="00C50871">
              <w:rPr>
                <w:rFonts w:eastAsia="Times New Roman" w:cs="Times New Roman"/>
              </w:rPr>
              <w:t xml:space="preserve">, </w:t>
            </w:r>
            <w:r w:rsidRPr="00C50871">
              <w:t xml:space="preserve">i.1.1.1.ck (CO26)), </w:t>
            </w:r>
            <w:r w:rsidRPr="00F77DD2" w:rsidR="00B123E2">
              <w:t>privātās investīcijas, kas papildina valsts atbalstu inovācijām vai pētniecības un izstrādes projektiem (</w:t>
            </w:r>
            <w:r w:rsidRPr="00C50871">
              <w:t>i.1.1.1.f</w:t>
            </w:r>
            <w:r w:rsidRPr="00C50871" w:rsidR="00B123E2">
              <w:t>)</w:t>
            </w:r>
            <w:r w:rsidRPr="00C50871">
              <w:t xml:space="preserve">, </w:t>
            </w:r>
            <w:r w:rsidRPr="00F77DD2" w:rsidR="00B123E2">
              <w:t>jauno produktu un tehnoloģiju skaits, kas ir komercializējami un kuru izstrādei sniegts atbalsts (</w:t>
            </w:r>
            <w:r w:rsidRPr="00C50871">
              <w:rPr>
                <w:rFonts w:eastAsia="Times New Roman" w:cs="Times New Roman"/>
              </w:rPr>
              <w:t>i.1.1.1.g</w:t>
            </w:r>
            <w:r w:rsidRPr="00C50871" w:rsidR="00B123E2">
              <w:rPr>
                <w:rFonts w:eastAsia="Times New Roman" w:cs="Times New Roman"/>
              </w:rPr>
              <w:t>)</w:t>
            </w:r>
            <w:r w:rsidRPr="00C50871">
              <w:rPr>
                <w:rFonts w:eastAsia="Times New Roman" w:cs="Times New Roman"/>
              </w:rPr>
              <w:t xml:space="preserve">; </w:t>
            </w:r>
            <w:r w:rsidRPr="00C50871">
              <w:t>tehnoloģiju tiesības (PUD 1.1.1.f), PUD 1.1.1.g – izpildi, plānots:</w:t>
            </w:r>
          </w:p>
          <w:p w:rsidR="00940113" w:rsidRPr="00C50871" w:rsidP="008212DF" w14:paraId="2F7817F3" w14:textId="78CAE0D0">
            <w:r w:rsidRPr="00F77DD2">
              <w:t xml:space="preserve">1. papildināt </w:t>
            </w:r>
            <w:r w:rsidRPr="00C50871" w:rsidR="001E63D3">
              <w:t>Praktiskas ievirzes pētījumu programmas</w:t>
            </w:r>
            <w:r w:rsidRPr="00F77DD2">
              <w:t xml:space="preserve"> projektu iesniegumu vērtēšanas kritērijus ar </w:t>
            </w:r>
            <w:r w:rsidR="00986CC1">
              <w:t>kvalitātes</w:t>
            </w:r>
            <w:r w:rsidRPr="00F77DD2">
              <w:t xml:space="preserve"> kritēriju “Ieguldījums nozares politikas mērķu sasniegšanā”, piešķirot papildu punktus projektiem, kas sniedz </w:t>
            </w:r>
            <w:r w:rsidR="00986CC1">
              <w:t>būtisku</w:t>
            </w:r>
            <w:r w:rsidRPr="00F77DD2">
              <w:t xml:space="preserve"> ieguldījumu iznākumu rādītāju i.1.1.1. bk (CO24</w:t>
            </w:r>
            <w:r w:rsidRPr="00C50871">
              <w:t>)</w:t>
            </w:r>
            <w:r w:rsidRPr="00C50871" w:rsidR="00C50871">
              <w:t xml:space="preserve"> un</w:t>
            </w:r>
            <w:r w:rsidRPr="00F77DD2">
              <w:t xml:space="preserve"> i.1.1.1.f izpildē;</w:t>
            </w:r>
          </w:p>
          <w:p w:rsidR="00940113" w:rsidRPr="00C50871" w:rsidP="00E425D0" w14:paraId="2D3B862B" w14:textId="77777777">
            <w:r w:rsidRPr="00C50871">
              <w:t>2. aktualizēt kvalitātes kritērija “</w:t>
            </w:r>
            <w:r w:rsidRPr="00C50871" w:rsidR="00E425D0">
              <w:t>I</w:t>
            </w:r>
            <w:r w:rsidRPr="00C50871">
              <w:t>etekme” vērtēšanas kārtību atbilstoši pamatprogrammas “Apvārsnis 2020” projektu iesniegumu vērtēšanas vadlīnijām, paredzot, ka</w:t>
            </w:r>
            <w:r w:rsidRPr="00C50871" w:rsidR="00E425D0">
              <w:t xml:space="preserve"> </w:t>
            </w:r>
            <w:r w:rsidRPr="00C50871">
              <w:t xml:space="preserve">vērtējumā, ņem vērā </w:t>
            </w:r>
            <w:r w:rsidRPr="00C50871" w:rsidR="00E425D0">
              <w:t xml:space="preserve">projekta rezultātu ilgtspēju un </w:t>
            </w:r>
            <w:r w:rsidRPr="00C50871">
              <w:t>projekta ieguldījumu:</w:t>
            </w:r>
          </w:p>
          <w:p w:rsidR="00940113" w:rsidRPr="00C50871" w:rsidP="00EC5E1E" w14:paraId="5F96DEA2" w14:textId="77777777">
            <w:r w:rsidRPr="00C50871">
              <w:t>- </w:t>
            </w:r>
            <w:r w:rsidRPr="00C50871">
              <w:t xml:space="preserve">inovācijas </w:t>
            </w:r>
            <w:r w:rsidRPr="00C50871" w:rsidR="002D0A57">
              <w:t>sistēmas attīstībā, tajā skaitā</w:t>
            </w:r>
            <w:r w:rsidRPr="00C50871" w:rsidR="00E425D0">
              <w:t>:</w:t>
            </w:r>
            <w:r w:rsidRPr="00C50871" w:rsidR="00DA0093">
              <w:t xml:space="preserve"> cilvēkkapitāla veidošanā,</w:t>
            </w:r>
            <w:r w:rsidRPr="00C50871" w:rsidR="00E425D0">
              <w:t xml:space="preserve"> cilvēkresursu kapacitātes paaugstināšanā</w:t>
            </w:r>
            <w:r w:rsidRPr="00C50871" w:rsidR="002D0A57">
              <w:t>,</w:t>
            </w:r>
            <w:r w:rsidRPr="00C50871">
              <w:t xml:space="preserve"> </w:t>
            </w:r>
            <w:r w:rsidRPr="00C50871" w:rsidR="002D0A57">
              <w:t xml:space="preserve">uzņēmumu konkurētspējas stiprināšanā, </w:t>
            </w:r>
            <w:r w:rsidRPr="00C50871">
              <w:t>jaunu tirgus iespēju radīšanā un</w:t>
            </w:r>
            <w:r w:rsidRPr="00C50871" w:rsidR="002D0A57">
              <w:t xml:space="preserve"> produktivitātes paaugstināšanā</w:t>
            </w:r>
            <w:r w:rsidRPr="00C50871">
              <w:t>;</w:t>
            </w:r>
          </w:p>
          <w:p w:rsidR="00940113" w:rsidRPr="00C50871" w:rsidP="00EC5E1E" w14:paraId="39E7E3D7" w14:textId="77777777">
            <w:r w:rsidRPr="00C50871">
              <w:t>– </w:t>
            </w:r>
            <w:r w:rsidRPr="00C50871">
              <w:t>sabiedrības vajadzību nodrošināšanā</w:t>
            </w:r>
            <w:r w:rsidRPr="00C50871" w:rsidR="00DA0093">
              <w:t xml:space="preserve"> un sabiedrībai svarīgu jautājumu risināšanā</w:t>
            </w:r>
            <w:r w:rsidRPr="00C50871">
              <w:t>, ta</w:t>
            </w:r>
            <w:r w:rsidRPr="00C50871" w:rsidR="002D0A57">
              <w:t>jā</w:t>
            </w:r>
            <w:r w:rsidRPr="00C50871">
              <w:t xml:space="preserve"> skaitā ar klimata pārmaiņām</w:t>
            </w:r>
            <w:r w:rsidRPr="00C50871" w:rsidR="002D0A57">
              <w:t xml:space="preserve"> un vidi</w:t>
            </w:r>
            <w:r w:rsidRPr="00C50871">
              <w:t xml:space="preserve"> saistīti jautājumi;</w:t>
            </w:r>
          </w:p>
          <w:p w:rsidR="00940113" w:rsidRPr="00C50871" w:rsidP="00986CC1" w14:paraId="101C73AB" w14:textId="0C6919FE">
            <w:r w:rsidRPr="00C50871">
              <w:t>3</w:t>
            </w:r>
            <w:r w:rsidRPr="00C50871">
              <w:t>. </w:t>
            </w:r>
            <w:r w:rsidRPr="00C50871">
              <w:t xml:space="preserve">noteikt, ka </w:t>
            </w:r>
            <w:r w:rsidRPr="00C50871">
              <w:t>prioritāri atbalstāmi projekta iesniegumi, kuriem:</w:t>
            </w:r>
            <w:r w:rsidRPr="00C50871">
              <w:t xml:space="preserve"> </w:t>
            </w:r>
            <w:r w:rsidRPr="00C50871">
              <w:t>augstāks vērtējums kvalitātes kritērijā “Izcilība”</w:t>
            </w:r>
            <w:r w:rsidRPr="00C50871">
              <w:t xml:space="preserve"> un</w:t>
            </w:r>
            <w:r w:rsidRPr="00C50871" w:rsidR="00DA0093">
              <w:t xml:space="preserve"> </w:t>
            </w:r>
            <w:r w:rsidR="00986CC1">
              <w:t>kas ieguldījumu tautsaimniecības attīstībā</w:t>
            </w:r>
            <w:r w:rsidRPr="00C50871" w:rsidR="00DA0093">
              <w:t xml:space="preserve">. </w:t>
            </w:r>
            <w:r w:rsidRPr="00C50871">
              <w:t xml:space="preserve"> </w:t>
            </w:r>
          </w:p>
        </w:tc>
      </w:tr>
      <w:tr w14:paraId="6095E783" w14:textId="77777777" w:rsidTr="00D34572">
        <w:tblPrEx>
          <w:tblW w:w="5000" w:type="pct"/>
          <w:tblLook w:val="04A0"/>
        </w:tblPrEx>
        <w:tc>
          <w:tcPr>
            <w:tcW w:w="191" w:type="pct"/>
          </w:tcPr>
          <w:p w:rsidR="00940113" w:rsidP="008212DF" w14:paraId="1DC743F0" w14:textId="77777777">
            <w:r>
              <w:fldChar w:fldCharType="begin"/>
            </w:r>
            <w:r>
              <w:instrText xml:space="preserve"> AUTONUM  </w:instrText>
            </w:r>
            <w:r>
              <w:fldChar w:fldCharType="end"/>
            </w:r>
          </w:p>
        </w:tc>
        <w:tc>
          <w:tcPr>
            <w:tcW w:w="1042" w:type="pct"/>
          </w:tcPr>
          <w:p w:rsidR="00940113" w:rsidP="008212DF" w14:paraId="0085FEBF" w14:textId="77777777">
            <w:r>
              <w:t xml:space="preserve">MK noteikumi Nr. 34 nosaka projekta dzīves cikla laikā sagaidāmos rezultātus. </w:t>
            </w:r>
          </w:p>
        </w:tc>
        <w:tc>
          <w:tcPr>
            <w:tcW w:w="1248" w:type="pct"/>
          </w:tcPr>
          <w:p w:rsidR="00940113" w:rsidRPr="00F31F80" w:rsidP="001E3F66" w14:paraId="2F8A8D7A" w14:textId="2E194C58"/>
        </w:tc>
        <w:tc>
          <w:tcPr>
            <w:tcW w:w="2519" w:type="pct"/>
            <w:vMerge/>
          </w:tcPr>
          <w:p w:rsidR="00940113" w:rsidRPr="00CD6CDB" w:rsidP="00BB56B0" w14:paraId="71623B9D" w14:textId="77777777">
            <w:pPr>
              <w:rPr>
                <w:b/>
              </w:rPr>
            </w:pPr>
          </w:p>
        </w:tc>
      </w:tr>
      <w:tr w14:paraId="25D8F410" w14:textId="77777777" w:rsidTr="00814155">
        <w:tblPrEx>
          <w:tblW w:w="5000" w:type="pct"/>
          <w:tblLook w:val="04A0"/>
        </w:tblPrEx>
        <w:tc>
          <w:tcPr>
            <w:tcW w:w="5000" w:type="pct"/>
            <w:gridSpan w:val="4"/>
            <w:shd w:val="clear" w:color="auto" w:fill="F4CDC9" w:themeFill="accent2" w:themeFillTint="33"/>
          </w:tcPr>
          <w:p w:rsidR="008212DF" w:rsidP="008212DF" w14:paraId="71DF7D5B" w14:textId="77777777">
            <w:pPr>
              <w:jc w:val="center"/>
            </w:pPr>
            <w:r>
              <w:t>Procedurāli uzlabojumi</w:t>
            </w:r>
          </w:p>
        </w:tc>
      </w:tr>
      <w:tr w14:paraId="17428D9D" w14:textId="77777777" w:rsidTr="00D34572">
        <w:tblPrEx>
          <w:tblW w:w="5000" w:type="pct"/>
          <w:tblLook w:val="04A0"/>
        </w:tblPrEx>
        <w:tc>
          <w:tcPr>
            <w:tcW w:w="191" w:type="pct"/>
          </w:tcPr>
          <w:p w:rsidR="00902E37" w:rsidP="00902E37" w14:paraId="0F17C1CA" w14:textId="77777777">
            <w:r>
              <w:fldChar w:fldCharType="begin"/>
            </w:r>
            <w:r>
              <w:instrText xml:space="preserve"> AUTONUM  </w:instrText>
            </w:r>
            <w:r>
              <w:fldChar w:fldCharType="end"/>
            </w:r>
          </w:p>
        </w:tc>
        <w:tc>
          <w:tcPr>
            <w:tcW w:w="1042" w:type="pct"/>
          </w:tcPr>
          <w:p w:rsidR="00902E37" w:rsidP="00902E37" w14:paraId="1D7209CC" w14:textId="77777777">
            <w:r>
              <w:t xml:space="preserve">Saskaņā ar MK noteikumiem Nr. 34  un MK noteikumiem Nr. 50 projekta iesniegumam pievieno </w:t>
            </w:r>
            <w:r w:rsidRPr="00D3438F">
              <w:t>Latvijā reģistrētās biedrības atzinum</w:t>
            </w:r>
            <w:r>
              <w:t>u</w:t>
            </w:r>
            <w:r w:rsidRPr="00D3438F">
              <w:t xml:space="preserve"> par pētījuma nozīmību tautsaimniecības nozares vai komersanta attīstībai</w:t>
            </w:r>
            <w:r>
              <w:t>.</w:t>
            </w:r>
          </w:p>
          <w:p w:rsidR="00902E37" w:rsidRPr="00643464" w:rsidP="00902E37" w14:paraId="3AEE9F6A" w14:textId="77777777">
            <w:pPr>
              <w:rPr>
                <w:highlight w:val="yellow"/>
              </w:rPr>
            </w:pPr>
          </w:p>
        </w:tc>
        <w:tc>
          <w:tcPr>
            <w:tcW w:w="1248" w:type="pct"/>
          </w:tcPr>
          <w:p w:rsidR="00902E37" w:rsidP="00902E37" w14:paraId="6F668A35" w14:textId="77777777">
            <w:r>
              <w:t xml:space="preserve">Projekta iesniegumu atlases procesā gūtā pieredze liecina, ka </w:t>
            </w:r>
            <w:r w:rsidRPr="00D3438F">
              <w:t>Latvijā reģistrētās biedrības atzinuma</w:t>
            </w:r>
            <w:r>
              <w:t>m</w:t>
            </w:r>
            <w:r w:rsidRPr="00D3438F">
              <w:t xml:space="preserve"> par pētījuma nozīmību tautsaimniecības nozares vai komersanta attīstībai</w:t>
            </w:r>
            <w:r>
              <w:t xml:space="preserve"> ir formāls raksturs un tas nedod iespēju salīdzināt vairāku projektu ietekmi uz konkrētas tautsaimniecības nozares attīstību, lai atbalstu sniegtu projektam ar salīdzinoši augstāku sociālekonomisko ietekmi.</w:t>
            </w:r>
          </w:p>
        </w:tc>
        <w:tc>
          <w:tcPr>
            <w:tcW w:w="2519" w:type="pct"/>
            <w:vMerge w:val="restart"/>
          </w:tcPr>
          <w:p w:rsidR="00902E37" w:rsidP="00902E37" w14:paraId="4BD11840" w14:textId="77777777">
            <w:r>
              <w:t xml:space="preserve">Plānots </w:t>
            </w:r>
            <w:r w:rsidRPr="00A936F9">
              <w:t xml:space="preserve">precizēt </w:t>
            </w:r>
            <w:r w:rsidRPr="00162A53">
              <w:t xml:space="preserve">MK noteikumus Nr. 34 </w:t>
            </w:r>
            <w:r w:rsidRPr="00F77DD2">
              <w:t xml:space="preserve">un MK noteikumus Nr. </w:t>
            </w:r>
            <w:r w:rsidRPr="00162A53">
              <w:t xml:space="preserve">50, </w:t>
            </w:r>
            <w:r w:rsidRPr="00162A53" w:rsidR="00162A53">
              <w:t>nosakot, ka projekta iesniegumam var pievienot</w:t>
            </w:r>
            <w:r w:rsidRPr="00A936F9">
              <w:t xml:space="preserve"> Latvijā reģistrētās biedrības atzinum</w:t>
            </w:r>
            <w:r w:rsidR="00162A53">
              <w:t>u</w:t>
            </w:r>
            <w:r w:rsidRPr="00A936F9">
              <w:t xml:space="preserve"> par pētījuma nozīmību tautsaimniecības nozares vai komersanta attīstībai</w:t>
            </w:r>
            <w:r w:rsidR="00162A53">
              <w:t>, lai pamatotu projekta sociālekonomisko ietekmi uz Latvijas tautsaimniecības attīstību</w:t>
            </w:r>
            <w:r w:rsidRPr="00A936F9">
              <w:t>.</w:t>
            </w:r>
            <w:r>
              <w:t xml:space="preserve"> </w:t>
            </w:r>
          </w:p>
          <w:p w:rsidR="00902E37" w:rsidP="008C1E85" w14:paraId="2F9C38FA" w14:textId="6F5AA7C1">
            <w:pPr>
              <w:spacing w:before="0" w:after="0"/>
            </w:pPr>
          </w:p>
        </w:tc>
      </w:tr>
      <w:tr w14:paraId="442F42E2" w14:textId="77777777" w:rsidTr="00D34572">
        <w:tblPrEx>
          <w:tblW w:w="5000" w:type="pct"/>
          <w:tblLook w:val="04A0"/>
        </w:tblPrEx>
        <w:tc>
          <w:tcPr>
            <w:tcW w:w="191" w:type="pct"/>
          </w:tcPr>
          <w:p w:rsidR="00902E37" w:rsidP="00902E37" w14:paraId="6F3F7BC0" w14:textId="77777777">
            <w:r>
              <w:fldChar w:fldCharType="begin"/>
            </w:r>
            <w:r>
              <w:instrText xml:space="preserve"> AUTONUM  </w:instrText>
            </w:r>
            <w:r>
              <w:fldChar w:fldCharType="end"/>
            </w:r>
          </w:p>
        </w:tc>
        <w:tc>
          <w:tcPr>
            <w:tcW w:w="1042" w:type="pct"/>
          </w:tcPr>
          <w:p w:rsidR="00902E37" w:rsidRPr="00987D90" w:rsidP="00902E37" w14:paraId="717B6C08" w14:textId="77777777">
            <w:r w:rsidRPr="00987D90">
              <w:t xml:space="preserve">Saskaņā ar EK ekspertu atlasē CFLA un VIAA piemēroto praksi, pētniecības projektu kvalitātes kritēriju vērtēšanā piesaista ekspertus, kuriem ir atbilstoša zinātniskā kvalifikācija pētniecības projektam atbilstošā zinātnes nozarē (apakšnozarē) un kuru līdzšinējo sniegumu vērtē, ņemot vērā eksperta Hirša indeksu (H-indekss), kas raksturo eksperta zinātniskās darbības </w:t>
            </w:r>
            <w:r w:rsidRPr="00987D90">
              <w:t>produktivitāti (publikāciju skaits konkrētā datu bāzē) un kvalitāti (publikāciju citējamība).</w:t>
            </w:r>
          </w:p>
          <w:p w:rsidR="00902E37" w:rsidRPr="00987D90" w:rsidP="00902E37" w14:paraId="26EC75B4" w14:textId="77777777"/>
        </w:tc>
        <w:tc>
          <w:tcPr>
            <w:tcW w:w="1248" w:type="pct"/>
          </w:tcPr>
          <w:p w:rsidR="00902E37" w:rsidRPr="00CB1F9E" w:rsidP="001F5D0F" w14:paraId="586C4B89" w14:textId="77777777">
            <w:r>
              <w:t xml:space="preserve">Ņemot vērā, ka projektu kvalitātes kritēriji ietver ne tikai pētniecības kvalitātes, bet arī projekta sociālekonomiskās ietekmes vērtējumu (analizējot projekta rezultātu potenciālo ietekmi uz konkrētas tautsaimniecības nozares </w:t>
            </w:r>
            <w:r w:rsidRPr="00C47D8D">
              <w:t>ilgtspējīgu ekonomisko izaugsmi</w:t>
            </w:r>
            <w:r>
              <w:t xml:space="preserve"> un inovācijas kapacitātes attīstību), EK ekspertu atlasē piemērotā pieeja nenodrošina </w:t>
            </w:r>
            <w:r>
              <w:rPr>
                <w:color w:val="000000"/>
              </w:rPr>
              <w:t xml:space="preserve">ekspertu līdzsvarotu sastāvu no dažādu prasmju, pieredzes, zināšanu viedokļa, kā arī ekspertu atlasē netiek nodrošināta privātā </w:t>
            </w:r>
            <w:r>
              <w:rPr>
                <w:color w:val="000000"/>
              </w:rPr>
              <w:t>un publiskā sektora pārstāvniecība.</w:t>
            </w:r>
            <w:r w:rsidR="00CB1F9E">
              <w:tab/>
            </w:r>
          </w:p>
        </w:tc>
        <w:tc>
          <w:tcPr>
            <w:tcW w:w="2519" w:type="pct"/>
            <w:vMerge/>
          </w:tcPr>
          <w:p w:rsidR="00902E37" w:rsidP="00902E37" w14:paraId="4D9ABC1B" w14:textId="77777777">
            <w:pPr>
              <w:spacing w:before="0" w:after="0"/>
            </w:pPr>
          </w:p>
        </w:tc>
      </w:tr>
      <w:tr w14:paraId="61C98352" w14:textId="77777777" w:rsidTr="00D34572">
        <w:tblPrEx>
          <w:tblW w:w="5000" w:type="pct"/>
          <w:tblLook w:val="04A0"/>
        </w:tblPrEx>
        <w:tc>
          <w:tcPr>
            <w:tcW w:w="191" w:type="pct"/>
          </w:tcPr>
          <w:p w:rsidR="00902E37" w:rsidP="00902E37" w14:paraId="6425A13B" w14:textId="77777777">
            <w:r>
              <w:fldChar w:fldCharType="begin"/>
            </w:r>
            <w:r>
              <w:instrText xml:space="preserve"> AUTONUM  </w:instrText>
            </w:r>
            <w:r>
              <w:fldChar w:fldCharType="end"/>
            </w:r>
          </w:p>
        </w:tc>
        <w:tc>
          <w:tcPr>
            <w:tcW w:w="1042" w:type="pct"/>
          </w:tcPr>
          <w:p w:rsidR="00902E37" w:rsidP="00902E37" w14:paraId="12A73911" w14:textId="77777777">
            <w:r>
              <w:t xml:space="preserve">Saskaņā ar MK noteikumiem Nr. 34 </w:t>
            </w:r>
            <w:r w:rsidRPr="00902F78">
              <w:t xml:space="preserve">pamatprogrammā </w:t>
            </w:r>
            <w:r>
              <w:t>“</w:t>
            </w:r>
            <w:r w:rsidRPr="00902F78">
              <w:t>Apvārsnis 2020</w:t>
            </w:r>
            <w:r>
              <w:t>”</w:t>
            </w:r>
            <w:r w:rsidRPr="00902F78">
              <w:t xml:space="preserve"> </w:t>
            </w:r>
            <w:r>
              <w:t xml:space="preserve">iesniegto </w:t>
            </w:r>
            <w:r w:rsidRPr="00902F78">
              <w:t>un virs kvalitātes sliekšņa novērtēt</w:t>
            </w:r>
            <w:r>
              <w:t>o</w:t>
            </w:r>
            <w:r w:rsidRPr="00902F78">
              <w:t xml:space="preserve">, bet </w:t>
            </w:r>
            <w:r>
              <w:t xml:space="preserve">atbalstu nesaņēmušo projektu iesniegumu </w:t>
            </w:r>
            <w:r w:rsidRPr="00EF1F88">
              <w:t>zinātniskās kvalitātes vērtēšanai izmanto pamatprogrammas "Apvārsnis 2020" ietvaros saņemto ekspertu vērtējumu par projekta kvalitāti.</w:t>
            </w:r>
          </w:p>
        </w:tc>
        <w:tc>
          <w:tcPr>
            <w:tcW w:w="1248" w:type="pct"/>
          </w:tcPr>
          <w:p w:rsidR="00902E37" w:rsidP="009517A8" w14:paraId="3444F27B" w14:textId="77777777">
            <w:r>
              <w:t xml:space="preserve">Projektu iesniegumu atlases ietvaros konstatētas </w:t>
            </w:r>
            <w:r w:rsidRPr="00B67454">
              <w:t>nepilnības kārtībā,</w:t>
            </w:r>
            <w:r>
              <w:t xml:space="preserve"> kādā vērtē </w:t>
            </w:r>
            <w:r w:rsidRPr="00902F78">
              <w:t xml:space="preserve">pamatprogrammā </w:t>
            </w:r>
            <w:r>
              <w:t>“</w:t>
            </w:r>
            <w:r w:rsidRPr="00902F78">
              <w:t>Apvārsnis 2020</w:t>
            </w:r>
            <w:r>
              <w:t>”</w:t>
            </w:r>
            <w:r w:rsidRPr="00902F78">
              <w:t xml:space="preserve"> </w:t>
            </w:r>
            <w:r>
              <w:t xml:space="preserve">iesniegtos </w:t>
            </w:r>
            <w:r w:rsidRPr="00902F78">
              <w:t>un virs kvalitātes sliekšņa novērtēt</w:t>
            </w:r>
            <w:r>
              <w:t>os</w:t>
            </w:r>
            <w:r w:rsidRPr="00902F78">
              <w:t xml:space="preserve">, bet </w:t>
            </w:r>
            <w:r>
              <w:t xml:space="preserve">atbalstu nesaņēmušo projektu iesniegumus, tai skaitā </w:t>
            </w:r>
            <w:r w:rsidRPr="00902F78">
              <w:t xml:space="preserve">pamatprogrammā </w:t>
            </w:r>
            <w:r>
              <w:t>“</w:t>
            </w:r>
            <w:r w:rsidRPr="00902F78">
              <w:t>Apvārsnis 2020</w:t>
            </w:r>
            <w:r>
              <w:t xml:space="preserve">” iesniegto projektu vērtēšanas sistēma (punktu skaits un svars) neatbilst </w:t>
            </w:r>
            <w:r w:rsidR="001E63D3">
              <w:t>Praktiskas ievirzes pētījumu programmas</w:t>
            </w:r>
            <w:r>
              <w:t xml:space="preserve"> ietvaros vērtējuma skalai, </w:t>
            </w:r>
            <w:r>
              <w:rPr>
                <w:rFonts w:cs="Times New Roman"/>
                <w:szCs w:val="24"/>
              </w:rPr>
              <w:t xml:space="preserve">līdz ar to pamatprogrammas Apvārsnis 2020” projektu iesniegumu saņemtais punktu skaits nav pielīdzināms vērtēšanas rezultātiem </w:t>
            </w:r>
            <w:r w:rsidR="001E63D3">
              <w:rPr>
                <w:rFonts w:cs="Times New Roman"/>
                <w:szCs w:val="24"/>
              </w:rPr>
              <w:t>Praktiskas ievirzes pētījumu programmas</w:t>
            </w:r>
            <w:r>
              <w:rPr>
                <w:rFonts w:cs="Times New Roman"/>
                <w:szCs w:val="24"/>
              </w:rPr>
              <w:t xml:space="preserve"> ietvaros.</w:t>
            </w:r>
          </w:p>
        </w:tc>
        <w:tc>
          <w:tcPr>
            <w:tcW w:w="2519" w:type="pct"/>
          </w:tcPr>
          <w:p w:rsidR="00B123E2" w:rsidRPr="00F77DD2" w:rsidP="00B123E2" w14:paraId="54172017" w14:textId="46A1B55F">
            <w:r w:rsidRPr="00162A53">
              <w:t>Praktiskas ievirzes pētījumu programmas</w:t>
            </w:r>
            <w:r w:rsidRPr="00F77DD2" w:rsidR="009517A8">
              <w:t xml:space="preserve"> ietvaros plānots precizēt pamatprogrammā “Apvārsnis 2020” iesniegto un virs kvalitātes sliekšņa novērtēto, bet atbalstu nesaņēmušo projektu iesniegumus vērtēšanas kārtību, paredzot, ka 1) </w:t>
            </w:r>
            <w:r w:rsidRPr="00F77DD2">
              <w:t>projektiem, kas iesniegti Eiropas Savienības pētniecības un inovāciju pamatprogrammā “Apvārsnis2020” un novērtēti virs kvalitātes sliekšņa, bet nesaņēma finansējumu pamatprogrammas “Apvārsnis2020” ietvaros, kvalitātes kritērij</w:t>
            </w:r>
            <w:r w:rsidR="00986CC1">
              <w:t xml:space="preserve">os, kas netika vērtēti programmas “Apvārsnis 2020” ietvaros – </w:t>
            </w:r>
            <w:r w:rsidRPr="00F77DD2" w:rsidR="00986CC1">
              <w:t>"Ieguldījums nozares politikas mērķu sasniegšanā" un "Kvalitātes kritērijs par horizontālām prioritātēm"</w:t>
            </w:r>
            <w:r w:rsidR="00986CC1">
              <w:t>,</w:t>
            </w:r>
            <w:r w:rsidRPr="00F77DD2">
              <w:t xml:space="preserve"> piemēro maksimāli iespējamo punktu skaitu, tādējādi izslēdzot kritērija ietekmi uz programmas “Apvārsnis2020” ietvaros iesniegtā projekta vērtējumu</w:t>
            </w:r>
            <w:r w:rsidR="00986CC1">
              <w:t>.</w:t>
            </w:r>
            <w:r w:rsidRPr="00F77DD2">
              <w:t xml:space="preserve"> </w:t>
            </w:r>
            <w:r w:rsidRPr="00162A53">
              <w:t>Praktiskas ievirzes pētījumu programmas</w:t>
            </w:r>
            <w:r w:rsidRPr="00162A53">
              <w:t xml:space="preserve"> </w:t>
            </w:r>
            <w:r w:rsidRPr="00F77DD2">
              <w:t>ietvaros</w:t>
            </w:r>
            <w:r w:rsidRPr="00F77DD2" w:rsidR="009517A8">
              <w:t xml:space="preserve">; 2) </w:t>
            </w:r>
            <w:r w:rsidRPr="00162A53">
              <w:t>Programmas</w:t>
            </w:r>
            <w:r w:rsidRPr="00F77DD2">
              <w:t xml:space="preserve"> “Apvārsnis 2020”ietvaros iesniegtam projekta iesnieguma kvalitātes vērtēšanai izmanto programmas "Apvārsnis 2020" ietvaros saņemto ekspertu vērtējumu par projekta kvalitāti.</w:t>
            </w:r>
          </w:p>
          <w:p w:rsidR="00B123E2" w:rsidRPr="00F77DD2" w:rsidP="00B123E2" w14:paraId="1636F02B" w14:textId="44B7CBE3">
            <w:r w:rsidRPr="00F77DD2">
              <w:t xml:space="preserve">Pasākuma ietvaros prioritāri atbalstāms projekta iesniegums, kurš kvalitātes kritēriju vērtējuma kopsummā ir saņēmis lielāku punktu skaitu. </w:t>
            </w:r>
          </w:p>
          <w:p w:rsidR="00B123E2" w:rsidRPr="00F77DD2" w:rsidP="00B123E2" w14:paraId="54A864FB" w14:textId="77777777">
            <w:r w:rsidRPr="00F77DD2">
              <w:t>Ja vairāku projektu iesniegumu kvalitātes vērtējuma kopsumma ir vienāda, prioritāri atbalstāms projekts, kurš kvalitātes kritērijā "Izcilība" ir saņēmis augstāku vērtējumu;</w:t>
            </w:r>
          </w:p>
          <w:p w:rsidR="00902E37" w:rsidRPr="00162A53" w:rsidP="00986CC1" w14:paraId="5B36D656" w14:textId="517B09FF">
            <w:r w:rsidRPr="00F77DD2">
              <w:t xml:space="preserve">Ja vairāku projektu iesniegumu vērtējums kvalitātes kritērijā "Izcilība" ir vienāds, </w:t>
            </w:r>
            <w:r w:rsidRPr="00986CC1" w:rsidR="00986CC1">
              <w:t>prioritāri atbalstāms projekts, kura rezultāti tieši sekmē Latvijas inovācijas kapacitātes palielināšanos</w:t>
            </w:r>
            <w:r w:rsidRPr="00162A53" w:rsidR="00DA0093">
              <w:t>.</w:t>
            </w:r>
          </w:p>
        </w:tc>
      </w:tr>
      <w:tr w14:paraId="7482D2E5" w14:textId="77777777" w:rsidTr="00D34572">
        <w:tblPrEx>
          <w:tblW w:w="5000" w:type="pct"/>
          <w:tblLook w:val="04A0"/>
        </w:tblPrEx>
        <w:tc>
          <w:tcPr>
            <w:tcW w:w="191" w:type="pct"/>
            <w:vMerge w:val="restart"/>
          </w:tcPr>
          <w:p w:rsidR="00902E37" w:rsidP="00902E37" w14:paraId="0ABFD814" w14:textId="77777777">
            <w:pPr>
              <w:rPr>
                <w:b w:val="0"/>
                <w:bCs w:val="0"/>
              </w:rPr>
            </w:pPr>
            <w:r>
              <w:fldChar w:fldCharType="begin"/>
            </w:r>
            <w:r>
              <w:instrText xml:space="preserve"> AUTONUM  </w:instrText>
            </w:r>
            <w:r>
              <w:fldChar w:fldCharType="end"/>
            </w:r>
          </w:p>
          <w:p w:rsidR="00902E37" w:rsidP="00902E37" w14:paraId="7CD13155" w14:textId="77777777"/>
        </w:tc>
        <w:tc>
          <w:tcPr>
            <w:tcW w:w="2290" w:type="pct"/>
            <w:gridSpan w:val="2"/>
          </w:tcPr>
          <w:p w:rsidR="00902E37" w:rsidP="00902E37" w14:paraId="005E8152" w14:textId="77777777">
            <w:r>
              <w:t>Praktiskas ievirzes pētījumu programmas</w:t>
            </w:r>
            <w:r>
              <w:t xml:space="preserve"> pirmās atlases kārtas ietvaros saņemti 39 vērtējumu apstrīdēšanas iesniegumi, tai skaitā saistībā ar a) EK eksperta atzinuma kvalitāti; b) kvalitātes kritēriju konsolidētā vērtējuma noteikšanas metodoloģiju; c) kvalitātes kritēriju vērtēšanā iesaistīto EK ekspertu un projekta zinātniskā vadītāja zinātniskās darbības kvalitātes rādītāja – Hirša indeksa savstarpēju neatbilstību.</w:t>
            </w:r>
          </w:p>
        </w:tc>
        <w:tc>
          <w:tcPr>
            <w:tcW w:w="2519" w:type="pct"/>
            <w:vMerge w:val="restart"/>
          </w:tcPr>
          <w:p w:rsidR="00902E37" w:rsidP="00160F57" w14:paraId="4493C895" w14:textId="77777777">
            <w:pPr>
              <w:pStyle w:val="ListParagraph"/>
            </w:pPr>
            <w:r>
              <w:t>Plānots aktualizēt kvalitātes kritēriju konsolidētā vērtējuma noteikšanas kārtību un precizēt projektu atlases dokumentāciju, paredzot pasākumus EK ekspertu atlases pilnveidei un  EK ekspertu atzinumu kvalitātes paaugstināšanai.</w:t>
            </w:r>
          </w:p>
        </w:tc>
      </w:tr>
      <w:tr w14:paraId="7D6D5B5A" w14:textId="77777777" w:rsidTr="00D34572">
        <w:tblPrEx>
          <w:tblW w:w="5000" w:type="pct"/>
          <w:tblLook w:val="04A0"/>
        </w:tblPrEx>
        <w:tc>
          <w:tcPr>
            <w:tcW w:w="191" w:type="pct"/>
            <w:vMerge/>
          </w:tcPr>
          <w:p w:rsidR="00902E37" w:rsidP="00902E37" w14:paraId="59E19074" w14:textId="77777777"/>
        </w:tc>
        <w:tc>
          <w:tcPr>
            <w:tcW w:w="1042" w:type="pct"/>
          </w:tcPr>
          <w:p w:rsidR="00902E37" w:rsidRPr="00CD6CDB" w:rsidP="00902E37" w14:paraId="3D6F9652" w14:textId="77777777">
            <w:r w:rsidRPr="00CD6CDB">
              <w:t>Saskaņā ar Vērtēšanas komisijas nolikuma  40.1. un 40.2. apakšpunktu:</w:t>
            </w:r>
          </w:p>
          <w:p w:rsidR="00902E37" w:rsidRPr="00CD6CDB" w:rsidP="00902E37" w14:paraId="7CE69C01" w14:textId="77777777">
            <w:r w:rsidRPr="00CD6CDB">
              <w:t>– ja ekspertu vērtējumi atšķiras mazāk kā par 50%, ņem vērā vid</w:t>
            </w:r>
            <w:r w:rsidR="00145052">
              <w:t>ē</w:t>
            </w:r>
            <w:r w:rsidRPr="00CD6CDB">
              <w:t>jo aritmētisko  vērtējumu;</w:t>
            </w:r>
          </w:p>
          <w:p w:rsidR="00902E37" w:rsidRPr="00CD6CDB" w:rsidP="008C1E85" w14:paraId="35FBD8DC" w14:textId="77777777">
            <w:r w:rsidRPr="00CD6CDB">
              <w:t>– ja ekspertu vērtējumi atšķiras par vairāk nekā 50%, tiek nodrošināts konsolidētais</w:t>
            </w:r>
            <w:r w:rsidR="009517A8">
              <w:t xml:space="preserve"> </w:t>
            </w:r>
            <w:r w:rsidRPr="00CD6CDB">
              <w:t>zinātniskais izvērtējums.</w:t>
            </w:r>
          </w:p>
        </w:tc>
        <w:tc>
          <w:tcPr>
            <w:tcW w:w="1248" w:type="pct"/>
          </w:tcPr>
          <w:p w:rsidR="00902E37" w:rsidRPr="00FB582F" w:rsidP="00902E37" w14:paraId="19BB4B90" w14:textId="77777777">
            <w:r w:rsidRPr="00CD6CDB">
              <w:t>Atlases nolikumā skaidri jānorāda vai 50% atšķirība domāta kopējā vērtējumā vai katrā no sadaļām. Uzskatām, ka, gadījumā,  ja ekspertu viedokļi atšķiras vairāk kā par 50% kaut vienā no kvalitātes kritēriju daļām, nepieciešams sagatavot konsolidētu zinātnisko vērtējumu</w:t>
            </w:r>
          </w:p>
        </w:tc>
        <w:tc>
          <w:tcPr>
            <w:tcW w:w="2519" w:type="pct"/>
            <w:vMerge/>
          </w:tcPr>
          <w:p w:rsidR="00902E37" w:rsidP="00160F57" w14:paraId="414E8C68" w14:textId="77777777">
            <w:pPr>
              <w:pStyle w:val="ListParagraph"/>
            </w:pPr>
          </w:p>
        </w:tc>
      </w:tr>
      <w:tr w14:paraId="1B4CB026" w14:textId="77777777" w:rsidTr="00D34572">
        <w:tblPrEx>
          <w:tblW w:w="5000" w:type="pct"/>
          <w:tblLook w:val="04A0"/>
        </w:tblPrEx>
        <w:tc>
          <w:tcPr>
            <w:tcW w:w="191" w:type="pct"/>
          </w:tcPr>
          <w:p w:rsidR="00902E37" w:rsidP="00902E37" w14:paraId="67568946" w14:textId="77777777">
            <w:r>
              <w:fldChar w:fldCharType="begin"/>
            </w:r>
            <w:r>
              <w:instrText xml:space="preserve"> AUTONUM  </w:instrText>
            </w:r>
            <w:r>
              <w:fldChar w:fldCharType="end"/>
            </w:r>
          </w:p>
        </w:tc>
        <w:tc>
          <w:tcPr>
            <w:tcW w:w="2290" w:type="pct"/>
            <w:gridSpan w:val="2"/>
          </w:tcPr>
          <w:p w:rsidR="00902E37" w:rsidP="00902E37" w14:paraId="7DDD2CC0" w14:textId="77777777">
            <w:pPr>
              <w:autoSpaceDE w:val="0"/>
              <w:autoSpaceDN w:val="0"/>
              <w:adjustRightInd w:val="0"/>
              <w:spacing w:before="0" w:after="0"/>
            </w:pPr>
            <w:r>
              <w:rPr>
                <w:szCs w:val="24"/>
              </w:rPr>
              <w:t xml:space="preserve">Pēcdoktorantūras pētījumu programmas </w:t>
            </w:r>
            <w:r>
              <w:rPr>
                <w:szCs w:val="24"/>
              </w:rPr>
              <w:t xml:space="preserve"> projektu iesniegumu atlases kārtas ietvaros konstatēta </w:t>
            </w:r>
            <w:r w:rsidRPr="002512BE">
              <w:rPr>
                <w:szCs w:val="24"/>
              </w:rPr>
              <w:t xml:space="preserve">nepietiekama informācijas apmaiņa saistībā ar </w:t>
            </w:r>
            <w:r>
              <w:rPr>
                <w:szCs w:val="24"/>
              </w:rPr>
              <w:t xml:space="preserve">1) </w:t>
            </w:r>
            <w:r w:rsidRPr="002512BE">
              <w:rPr>
                <w:szCs w:val="24"/>
              </w:rPr>
              <w:t>plānoto aktivitāšu (izsludināšana, iesniegšana, vērtēšana, nosacījumu izpilde, līgumu slēgšana) laika grafiku izmaiņām</w:t>
            </w:r>
            <w:r>
              <w:rPr>
                <w:szCs w:val="24"/>
              </w:rPr>
              <w:t xml:space="preserve">; 2) noslēgtajiem līgumiem un 3) projektu ietvaros uzņemtām saistībām un rezultātu aktuālajām vērtībām. </w:t>
            </w:r>
          </w:p>
        </w:tc>
        <w:tc>
          <w:tcPr>
            <w:tcW w:w="2519" w:type="pct"/>
          </w:tcPr>
          <w:p w:rsidR="00902E37" w:rsidP="00160F57" w14:paraId="290AB84A" w14:textId="77777777">
            <w:pPr>
              <w:pStyle w:val="ListParagraph"/>
            </w:pPr>
            <w:r>
              <w:t xml:space="preserve">VIAA apņemas 1) nodrošināt savlaicīgu informācijas apriti, tai skaitā saistībā ar pētniecības pieteikumu atlases izsludināšanu, pētniecības pieteikumu vērtēšanu, nosacījumu izpildi un līgumu slēgšanu; 2) </w:t>
            </w:r>
            <w:r w:rsidRPr="0035185E">
              <w:t xml:space="preserve">piešķirt IZM kā atbildīgajai iestādei 2-3 pieejas </w:t>
            </w:r>
            <w:r w:rsidRPr="00C07944">
              <w:rPr>
                <w:i/>
              </w:rPr>
              <w:t>PostDoc</w:t>
            </w:r>
            <w:r w:rsidRPr="0035185E">
              <w:t xml:space="preserve"> IT sistēmai, lai nodrošinātu operatīvāku informācijas apriti un mazinātu administratīvo slogu VIAA kā finansējuma saņēmējam </w:t>
            </w:r>
            <w:r w:rsidR="002A414E">
              <w:t xml:space="preserve">Pēcdoktorantūras pētījumu programmas </w:t>
            </w:r>
            <w:r w:rsidRPr="0035185E">
              <w:t xml:space="preserve"> īstenošanā</w:t>
            </w:r>
            <w:r>
              <w:t>.</w:t>
            </w:r>
          </w:p>
        </w:tc>
      </w:tr>
      <w:tr w14:paraId="1C52ABB4" w14:textId="77777777" w:rsidTr="00D34572">
        <w:tblPrEx>
          <w:tblW w:w="5000" w:type="pct"/>
          <w:tblLook w:val="04A0"/>
        </w:tblPrEx>
        <w:tc>
          <w:tcPr>
            <w:tcW w:w="191" w:type="pct"/>
          </w:tcPr>
          <w:p w:rsidR="00902E37" w:rsidP="00902E37" w14:paraId="680E5D4C" w14:textId="77777777">
            <w:r>
              <w:fldChar w:fldCharType="begin"/>
            </w:r>
            <w:r>
              <w:instrText xml:space="preserve"> AUTONUM  </w:instrText>
            </w:r>
            <w:r>
              <w:fldChar w:fldCharType="end"/>
            </w:r>
          </w:p>
        </w:tc>
        <w:tc>
          <w:tcPr>
            <w:tcW w:w="2290" w:type="pct"/>
            <w:gridSpan w:val="2"/>
          </w:tcPr>
          <w:p w:rsidR="00902E37" w:rsidP="00902E37" w14:paraId="0A1E0EFE" w14:textId="77777777">
            <w:pPr>
              <w:autoSpaceDE w:val="0"/>
              <w:autoSpaceDN w:val="0"/>
              <w:adjustRightInd w:val="0"/>
              <w:spacing w:before="0" w:after="0"/>
              <w:rPr>
                <w:szCs w:val="24"/>
              </w:rPr>
            </w:pPr>
            <w:r>
              <w:rPr>
                <w:szCs w:val="24"/>
              </w:rPr>
              <w:t>SAM 1.1.1. pasākumu pirmās atlases kārtas ietvaros konstatēts zems piesaistīto ārvalstu pētnieku īpatsvars. Ārvalstu pētnieku piesaiste sekmētu iznākuma rādītāja i.1.1.1.bk (CO24) izpildi.</w:t>
            </w:r>
          </w:p>
        </w:tc>
        <w:tc>
          <w:tcPr>
            <w:tcW w:w="2519" w:type="pct"/>
          </w:tcPr>
          <w:p w:rsidR="00902E37" w:rsidP="00160F57" w14:paraId="3E31ECB5" w14:textId="77777777">
            <w:pPr>
              <w:pStyle w:val="ListParagraph"/>
              <w:rPr>
                <w:szCs w:val="24"/>
              </w:rPr>
            </w:pPr>
            <w:r>
              <w:rPr>
                <w:szCs w:val="24"/>
              </w:rPr>
              <w:t xml:space="preserve">Sekmīgākai ārvalstu pēcdoktorantu un viespētnieku piesaistei, plānots </w:t>
            </w:r>
            <w:r>
              <w:t>izstrādāt viegli uztveramus informatīvos materiālus par SAM 1.1.1. pasākumu ieviešanas nosacījumiem angļu valodā.</w:t>
            </w:r>
          </w:p>
        </w:tc>
      </w:tr>
      <w:tr w14:paraId="3AEFBFA7" w14:textId="77777777" w:rsidTr="00814155">
        <w:tblPrEx>
          <w:tblW w:w="5000" w:type="pct"/>
          <w:tblLook w:val="04A0"/>
        </w:tblPrEx>
        <w:tc>
          <w:tcPr>
            <w:tcW w:w="5000" w:type="pct"/>
            <w:gridSpan w:val="4"/>
          </w:tcPr>
          <w:p w:rsidR="00902E37" w:rsidP="00160F57" w14:paraId="2A91EAF7" w14:textId="77777777">
            <w:pPr>
              <w:pStyle w:val="ListParagraph"/>
            </w:pPr>
            <w:r>
              <w:t>Tehniski precizējumi</w:t>
            </w:r>
          </w:p>
        </w:tc>
      </w:tr>
      <w:tr w14:paraId="24B72FB4" w14:textId="77777777" w:rsidTr="00D34572">
        <w:tblPrEx>
          <w:tblW w:w="5000" w:type="pct"/>
          <w:tblLook w:val="04A0"/>
        </w:tblPrEx>
        <w:tc>
          <w:tcPr>
            <w:tcW w:w="191" w:type="pct"/>
          </w:tcPr>
          <w:p w:rsidR="00902E37" w:rsidP="00902E37" w14:paraId="1A982CCE" w14:textId="77777777">
            <w:r>
              <w:fldChar w:fldCharType="begin"/>
            </w:r>
            <w:r>
              <w:instrText xml:space="preserve"> AUTONUM  </w:instrText>
            </w:r>
            <w:r>
              <w:fldChar w:fldCharType="end"/>
            </w:r>
          </w:p>
        </w:tc>
        <w:tc>
          <w:tcPr>
            <w:tcW w:w="2290" w:type="pct"/>
            <w:gridSpan w:val="2"/>
          </w:tcPr>
          <w:p w:rsidR="00902E37" w:rsidP="00902E37" w14:paraId="5AFBAB15" w14:textId="77777777">
            <w:r>
              <w:t xml:space="preserve">Pēcdoktorantūras pētījumu programmas </w:t>
            </w:r>
            <w:r>
              <w:t xml:space="preserve"> projektu iesniegumu atlases dokumentācija nav viennozīmīgi skaidri definēti kritēriji, lai novērtētu zinātniskās institūcijas atbilstību pētniecības organizācijas statusam atbilstoši </w:t>
            </w:r>
            <w:r w:rsidRPr="00E81F8D">
              <w:t xml:space="preserve">Eiropas Komisijas 2014. gada 17. jūnija Regulas Nr. 651/2014, ar ko noteiktas atbalsta kategorijas atzīst par saderīgām ar iekšējo tirgu, piemērojot Līguma 107. un 108. pantu (turpmāk – Komisijas regula Nr. 651/2014), 2. panta </w:t>
            </w:r>
            <w:r>
              <w:t>8</w:t>
            </w:r>
            <w:r w:rsidRPr="00E81F8D">
              <w:t>3. punktā noteikt</w:t>
            </w:r>
            <w:r>
              <w:t>ajai</w:t>
            </w:r>
            <w:r w:rsidRPr="00E81F8D">
              <w:t xml:space="preserve"> definīcij</w:t>
            </w:r>
            <w:r>
              <w:t>ai.</w:t>
            </w:r>
          </w:p>
        </w:tc>
        <w:tc>
          <w:tcPr>
            <w:tcW w:w="2519" w:type="pct"/>
          </w:tcPr>
          <w:p w:rsidR="00902E37" w:rsidP="00160F57" w14:paraId="03DF3314" w14:textId="77777777">
            <w:pPr>
              <w:pStyle w:val="ListParagraph"/>
            </w:pPr>
            <w:r>
              <w:t>Plānots p</w:t>
            </w:r>
            <w:r w:rsidRPr="00E81F8D">
              <w:t xml:space="preserve">recizēt </w:t>
            </w:r>
            <w:r>
              <w:t>p</w:t>
            </w:r>
            <w:r w:rsidRPr="000A7BED">
              <w:t>ētniecības pieteikuma administratīvās un atbilstības vērtēšanas vadlīnijas un metodik</w:t>
            </w:r>
            <w:r>
              <w:t xml:space="preserve">u, kā arī </w:t>
            </w:r>
            <w:r w:rsidRPr="00E81F8D">
              <w:t>pētniecības pieteikuma administratīvos un atbilstības vērtēšanas kritērijus</w:t>
            </w:r>
            <w:r>
              <w:t xml:space="preserve">, papildinot ar detalizētiem nosacījumiem zinātniskās institūcijas atbilstības </w:t>
            </w:r>
            <w:r w:rsidRPr="00E81F8D">
              <w:t xml:space="preserve">pētniecības organizācijas </w:t>
            </w:r>
            <w:r>
              <w:t xml:space="preserve">statusam novērtēšanai saskaņā ar </w:t>
            </w:r>
            <w:r w:rsidRPr="00E81F8D">
              <w:t xml:space="preserve">Komisijas </w:t>
            </w:r>
            <w:r>
              <w:t>R</w:t>
            </w:r>
            <w:r w:rsidRPr="00E81F8D">
              <w:t xml:space="preserve">egula Nr. 651/2014 2. panta </w:t>
            </w:r>
            <w:r>
              <w:t>8</w:t>
            </w:r>
            <w:r w:rsidRPr="00E81F8D">
              <w:t>3. punktā noteikt</w:t>
            </w:r>
            <w:r>
              <w:t>o</w:t>
            </w:r>
            <w:r w:rsidRPr="00E81F8D">
              <w:t xml:space="preserve"> definīcij</w:t>
            </w:r>
            <w:r>
              <w:t>u.</w:t>
            </w:r>
          </w:p>
        </w:tc>
      </w:tr>
      <w:tr w14:paraId="0BBE9B27" w14:textId="77777777" w:rsidTr="00D34572">
        <w:tblPrEx>
          <w:tblW w:w="5000" w:type="pct"/>
          <w:tblLook w:val="04A0"/>
        </w:tblPrEx>
        <w:tc>
          <w:tcPr>
            <w:tcW w:w="191" w:type="pct"/>
          </w:tcPr>
          <w:p w:rsidR="00902E37" w:rsidP="00902E37" w14:paraId="22ADD107" w14:textId="77777777">
            <w:r>
              <w:fldChar w:fldCharType="begin"/>
            </w:r>
            <w:r>
              <w:instrText xml:space="preserve"> AUTONUM  </w:instrText>
            </w:r>
            <w:r>
              <w:fldChar w:fldCharType="end"/>
            </w:r>
          </w:p>
        </w:tc>
        <w:tc>
          <w:tcPr>
            <w:tcW w:w="1042" w:type="pct"/>
          </w:tcPr>
          <w:p w:rsidR="00902E37" w:rsidP="00160F57" w14:paraId="0138BBB5" w14:textId="77777777">
            <w:pPr>
              <w:pStyle w:val="ListParagraph"/>
            </w:pPr>
            <w:r>
              <w:t>Praktiskas ievirzes pētījumu programmas</w:t>
            </w:r>
            <w:r w:rsidRPr="00657A22">
              <w:t xml:space="preserve"> projektu iesniegumu veidlapā sniedzamā informācija ir specifiska un ievērojami plašāka par MK 16.12.2014. noteikumu Nr. 784 “</w:t>
            </w:r>
            <w:r w:rsidRPr="00397261">
              <w:t>Kārtība, kādā Eiropas Savienības struktūrfondu un Kohēzijas fonda vadībā iesaistītās institūcijas nodrošina plānošanas dokumentu sagatavošanu un šo fondu ieviešanu 2014.–2020.gada plānošanas periodā” 1.</w:t>
            </w:r>
            <w:r w:rsidRPr="00657A22">
              <w:t xml:space="preserve">pielikuma </w:t>
            </w:r>
            <w:r w:rsidRPr="00657A22">
              <w:t xml:space="preserve">standartveidlapā </w:t>
            </w:r>
            <w:r>
              <w:t xml:space="preserve">(turpmāk – standartveidlapa) </w:t>
            </w:r>
            <w:r w:rsidRPr="00657A22">
              <w:t xml:space="preserve">sniedzamo informāciju. </w:t>
            </w:r>
            <w:r>
              <w:t xml:space="preserve">Tāpēc </w:t>
            </w:r>
            <w:r>
              <w:t>Praktiskas ievirzes pētījumu programmas</w:t>
            </w:r>
            <w:r>
              <w:t xml:space="preserve"> ietvaros piemēroja konkrētā pasākuma ietvaram pielāgotu standartveidlapu, tai pievienojot vairākus papildu pielikumus.</w:t>
            </w:r>
          </w:p>
        </w:tc>
        <w:tc>
          <w:tcPr>
            <w:tcW w:w="1248" w:type="pct"/>
          </w:tcPr>
          <w:p w:rsidR="00902E37" w:rsidP="00160F57" w14:paraId="7885D123" w14:textId="77777777">
            <w:pPr>
              <w:pStyle w:val="ListParagraph"/>
            </w:pPr>
            <w:r>
              <w:t>Projektu iesniegumu vērtēšanas procesā gūtās pieredzes rezultātā secināms, ka sekmīgai projektu iesniegumu vērtēšanas procesa nodrošināšanai nepieciešams:</w:t>
            </w:r>
          </w:p>
          <w:p w:rsidR="00902E37" w:rsidP="00160F57" w14:paraId="40B5295F" w14:textId="77777777">
            <w:pPr>
              <w:pStyle w:val="ListParagraph"/>
            </w:pPr>
            <w:r>
              <w:t>- paplašināt projekta iesniegumā angļu valodā sniedzamās informācijas spektru;</w:t>
            </w:r>
          </w:p>
          <w:p w:rsidR="00902E37" w:rsidP="00160F57" w14:paraId="0100F80F" w14:textId="77777777">
            <w:pPr>
              <w:pStyle w:val="ListParagraph"/>
            </w:pPr>
            <w:r>
              <w:t>- MK noteikumos sniegt atsauces uz visiem iesniegumam pievienojamajiem pielikumiem;</w:t>
            </w:r>
          </w:p>
          <w:p w:rsidR="00902E37" w:rsidP="00160F57" w14:paraId="1D39030F" w14:textId="77777777">
            <w:pPr>
              <w:pStyle w:val="ListParagraph"/>
            </w:pPr>
            <w:r>
              <w:t xml:space="preserve">- projekta iesniegumā ietvert laukus, , lai novērtētu projekta potenciālo ietekmi uz atbilstošās tautsaimniecības nozares </w:t>
            </w:r>
            <w:r>
              <w:t xml:space="preserve">transformāciju atbilstoši RIS3 mērķiem un prioritātēm. </w:t>
            </w:r>
          </w:p>
        </w:tc>
        <w:tc>
          <w:tcPr>
            <w:tcW w:w="2519" w:type="pct"/>
          </w:tcPr>
          <w:p w:rsidR="00902E37" w:rsidP="00160F57" w14:paraId="2F37255A" w14:textId="77777777">
            <w:pPr>
              <w:pStyle w:val="ListParagraph"/>
            </w:pPr>
            <w:r>
              <w:t xml:space="preserve">Plānots </w:t>
            </w:r>
            <w:r w:rsidRPr="009C0F6A">
              <w:t xml:space="preserve"> precizēt </w:t>
            </w:r>
            <w:r>
              <w:t xml:space="preserve">MK </w:t>
            </w:r>
            <w:r w:rsidRPr="009C0F6A">
              <w:t>noteikumus</w:t>
            </w:r>
            <w:r>
              <w:t xml:space="preserve"> Nr. 34:</w:t>
            </w:r>
          </w:p>
          <w:p w:rsidR="00902E37" w:rsidP="00160F57" w14:paraId="71A0B6EF" w14:textId="77777777">
            <w:pPr>
              <w:pStyle w:val="ListParagraph"/>
            </w:pPr>
            <w:r>
              <w:t xml:space="preserve">- </w:t>
            </w:r>
            <w:r w:rsidRPr="00B67454">
              <w:t>aktualizējot angļu valodā iesniedzamo informāciju;</w:t>
            </w:r>
          </w:p>
          <w:p w:rsidR="00902E37" w:rsidP="00160F57" w14:paraId="3D96F116" w14:textId="77777777">
            <w:pPr>
              <w:pStyle w:val="ListParagraph"/>
            </w:pPr>
            <w:r>
              <w:t>- norādot atsauces uz projekta iesniegumam pievienojamajiem pielikumiem sadalījumā pa projekta veidiem;</w:t>
            </w:r>
          </w:p>
          <w:p w:rsidR="00902E37" w:rsidP="00160F57" w14:paraId="62ABBDC5" w14:textId="77777777">
            <w:pPr>
              <w:pStyle w:val="ListParagraph"/>
            </w:pPr>
            <w:r>
              <w:t>– projekta iesniegumā ietvert laukus, kuros norāda projektam atbilstošo s</w:t>
            </w:r>
            <w:r w:rsidRPr="001058EE">
              <w:t>aimniecisko darbību statistiskā</w:t>
            </w:r>
            <w:r>
              <w:t>s</w:t>
            </w:r>
            <w:r w:rsidRPr="001058EE">
              <w:t xml:space="preserve"> klasifikācija</w:t>
            </w:r>
            <w:r>
              <w:t>s</w:t>
            </w:r>
            <w:r w:rsidRPr="001058EE">
              <w:t xml:space="preserve"> </w:t>
            </w:r>
            <w:r>
              <w:t>(</w:t>
            </w:r>
            <w:r w:rsidRPr="001058EE">
              <w:t>NACE 2. red.</w:t>
            </w:r>
            <w:r>
              <w:t>) kodu.</w:t>
            </w:r>
          </w:p>
          <w:p w:rsidR="00902E37" w:rsidRPr="009C0F6A" w:rsidP="00160F57" w14:paraId="719C142B" w14:textId="444580EB">
            <w:pPr>
              <w:pStyle w:val="ListParagraph"/>
            </w:pPr>
            <w:r>
              <w:t>–</w:t>
            </w:r>
            <w:r w:rsidR="006D3191">
              <w:t> </w:t>
            </w:r>
            <w:r>
              <w:t>projekta iesnieguma</w:t>
            </w:r>
            <w:r>
              <w:t>m</w:t>
            </w:r>
            <w:r>
              <w:t xml:space="preserve"> </w:t>
            </w:r>
            <w:r>
              <w:t>pievienojamos</w:t>
            </w:r>
            <w:r>
              <w:t xml:space="preserve"> pielikumus atbilstoši SAM 1.1.1. pasākumu specifikai. </w:t>
            </w:r>
          </w:p>
        </w:tc>
      </w:tr>
      <w:tr w14:paraId="4B470A05" w14:textId="77777777" w:rsidTr="00D34572">
        <w:tblPrEx>
          <w:tblW w:w="5000" w:type="pct"/>
          <w:tblLook w:val="04A0"/>
        </w:tblPrEx>
        <w:tc>
          <w:tcPr>
            <w:tcW w:w="191" w:type="pct"/>
          </w:tcPr>
          <w:p w:rsidR="00902E37" w:rsidP="00902E37" w14:paraId="2A52DF71" w14:textId="77777777">
            <w:r>
              <w:fldChar w:fldCharType="begin"/>
            </w:r>
            <w:r>
              <w:instrText xml:space="preserve"> AUTONUM  </w:instrText>
            </w:r>
            <w:r>
              <w:fldChar w:fldCharType="end"/>
            </w:r>
          </w:p>
        </w:tc>
        <w:tc>
          <w:tcPr>
            <w:tcW w:w="1042" w:type="pct"/>
          </w:tcPr>
          <w:p w:rsidR="00902E37" w:rsidP="00902E37" w14:paraId="4852B556" w14:textId="77777777">
            <w:r>
              <w:t xml:space="preserve">Saskaņā ar MK noteikumiem Nr. 34 </w:t>
            </w:r>
            <w:r w:rsidRPr="00C55CEE">
              <w:t>23.6.</w:t>
            </w:r>
            <w:r>
              <w:t xml:space="preserve"> apakšpunktu</w:t>
            </w:r>
            <w:r w:rsidRPr="00C55CEE">
              <w:t xml:space="preserve"> katra sadarbības partnera projekta daļas attiecināmās izmaksas veido vismaz 20 procentus no projekta kopējām attiecināmajām izmaksām</w:t>
            </w:r>
          </w:p>
        </w:tc>
        <w:tc>
          <w:tcPr>
            <w:tcW w:w="1248" w:type="pct"/>
          </w:tcPr>
          <w:p w:rsidR="00902E37" w:rsidP="00902E37" w14:paraId="2803826E" w14:textId="77777777">
            <w:r>
              <w:t xml:space="preserve">Ņemot vērā, ka ārvalstu partnera projekta daļas izmaksas </w:t>
            </w:r>
            <w:r w:rsidR="001E63D3">
              <w:t>Praktiskas ievirzes pētījumu programmas</w:t>
            </w:r>
            <w:r>
              <w:t xml:space="preserve"> ietvaros nav attiecināmas, nepieciešams aktualizēt minimālo sadarbības partnera projekta daļas apmēru. </w:t>
            </w:r>
          </w:p>
        </w:tc>
        <w:tc>
          <w:tcPr>
            <w:tcW w:w="2519" w:type="pct"/>
          </w:tcPr>
          <w:p w:rsidR="00902E37" w:rsidP="00160F57" w14:paraId="29AF75CD" w14:textId="77777777">
            <w:pPr>
              <w:pStyle w:val="ListParagraph"/>
            </w:pPr>
            <w:r>
              <w:t xml:space="preserve">SAM 1.1.1. pasākumu ietvaros plānots </w:t>
            </w:r>
            <w:r w:rsidRPr="009C0F6A">
              <w:t xml:space="preserve">harmonizēt noteikumos iekļautās normas saistībā ar </w:t>
            </w:r>
            <w:r>
              <w:t xml:space="preserve">Latvijas un ārvalstu </w:t>
            </w:r>
            <w:r w:rsidRPr="009C0F6A">
              <w:t>sadarbības partneru iesaisti pētniecības projektā</w:t>
            </w:r>
            <w:r>
              <w:t>.</w:t>
            </w:r>
          </w:p>
        </w:tc>
      </w:tr>
      <w:tr w14:paraId="0A3AD134" w14:textId="77777777" w:rsidTr="00D34572">
        <w:tblPrEx>
          <w:tblW w:w="5000" w:type="pct"/>
          <w:tblLook w:val="04A0"/>
        </w:tblPrEx>
        <w:tc>
          <w:tcPr>
            <w:tcW w:w="191" w:type="pct"/>
          </w:tcPr>
          <w:p w:rsidR="00902E37" w:rsidP="00902E37" w14:paraId="7F5845C4" w14:textId="77777777">
            <w:r>
              <w:fldChar w:fldCharType="begin"/>
            </w:r>
            <w:r>
              <w:instrText xml:space="preserve"> AUTONUM  </w:instrText>
            </w:r>
            <w:r>
              <w:fldChar w:fldCharType="end"/>
            </w:r>
          </w:p>
        </w:tc>
        <w:tc>
          <w:tcPr>
            <w:tcW w:w="2290" w:type="pct"/>
            <w:gridSpan w:val="2"/>
          </w:tcPr>
          <w:p w:rsidR="00902E37" w:rsidP="00902E37" w14:paraId="78797C3E" w14:textId="77777777">
            <w:r>
              <w:t xml:space="preserve">MK noteikumi Nr. 50 paredz šādus </w:t>
            </w:r>
            <w:r w:rsidR="002A414E">
              <w:t xml:space="preserve">Pēcdoktorantūras pētījumu programmas </w:t>
            </w:r>
            <w:r>
              <w:t xml:space="preserve"> pētniecības pieteikumu finansēšanas avotus: ERAF, valsts budžets, privātais finansējums, neparedzot projektu finansēšanu no citiem publiskiem finanšu resursiem.</w:t>
            </w:r>
          </w:p>
        </w:tc>
        <w:tc>
          <w:tcPr>
            <w:tcW w:w="2519" w:type="pct"/>
          </w:tcPr>
          <w:p w:rsidR="00902E37" w:rsidP="00160F57" w14:paraId="55ED2AC6" w14:textId="06D1D2D1">
            <w:pPr>
              <w:pStyle w:val="ListParagraph"/>
            </w:pPr>
            <w:r>
              <w:t xml:space="preserve">Plānots precizēt MK noteikumu </w:t>
            </w:r>
            <w:r w:rsidR="00B03EF3">
              <w:t>N</w:t>
            </w:r>
            <w:r>
              <w:t xml:space="preserve">r. 50 </w:t>
            </w:r>
            <w:r w:rsidR="00B03EF3">
              <w:t xml:space="preserve">9. un </w:t>
            </w:r>
            <w:r>
              <w:t>42. punktu, paredzot papildu nacionālā līdzfinansējuma avotu: cits publiskais finansējums.</w:t>
            </w:r>
          </w:p>
          <w:p w:rsidR="00B03EF3" w:rsidRPr="009C0F6A" w:rsidP="00160F57" w14:paraId="67A04318" w14:textId="396F7F3A">
            <w:pPr>
              <w:pStyle w:val="ListParagraph"/>
            </w:pPr>
          </w:p>
        </w:tc>
      </w:tr>
    </w:tbl>
    <w:p w:rsidR="00BF76E4" w:rsidP="00BF76E4" w14:paraId="0D78776F" w14:textId="77777777"/>
    <w:p w:rsidR="00BF76E4" w:rsidP="00BF76E4" w14:paraId="618A91FF" w14:textId="77777777">
      <w:pPr>
        <w:sectPr w:rsidSect="00BF76E4">
          <w:pgSz w:w="16838" w:h="11906" w:orient="landscape"/>
          <w:pgMar w:top="1701" w:right="1134" w:bottom="1134" w:left="1134" w:header="425" w:footer="193" w:gutter="0"/>
          <w:cols w:space="708"/>
          <w:titlePg/>
          <w:docGrid w:linePitch="360"/>
        </w:sectPr>
      </w:pPr>
    </w:p>
    <w:p w:rsidR="00E2786E" w:rsidRPr="008A56D5" w:rsidP="00EB77A4" w14:paraId="1C0FD814" w14:textId="2F3EF5F6">
      <w:pPr>
        <w:pStyle w:val="Heading1"/>
      </w:pPr>
      <w:bookmarkStart w:id="108" w:name="_Toc499019522"/>
      <w:bookmarkStart w:id="109" w:name="_Toc505086378"/>
      <w:bookmarkStart w:id="110" w:name="_Toc256000016"/>
      <w:bookmarkStart w:id="111" w:name="_Toc256000043"/>
      <w:r>
        <w:t>3</w:t>
      </w:r>
      <w:r w:rsidR="00362C15">
        <w:t>. </w:t>
      </w:r>
      <w:r w:rsidRPr="008A56D5" w:rsidR="00D668F7">
        <w:t xml:space="preserve">Priekšlikumi </w:t>
      </w:r>
      <w:r w:rsidR="00787418">
        <w:t xml:space="preserve">SAM 1.1.1. </w:t>
      </w:r>
      <w:r w:rsidR="000238B5">
        <w:t>īstenošanas</w:t>
      </w:r>
      <w:r w:rsidRPr="008A56D5" w:rsidR="00D668F7">
        <w:t xml:space="preserve"> uzlabojumiem</w:t>
      </w:r>
      <w:bookmarkEnd w:id="111"/>
      <w:bookmarkEnd w:id="110"/>
      <w:bookmarkEnd w:id="104"/>
      <w:bookmarkEnd w:id="108"/>
      <w:bookmarkEnd w:id="109"/>
    </w:p>
    <w:p w:rsidR="00BE1679" w:rsidP="003F23E8" w14:paraId="26E13515" w14:textId="77777777">
      <w:pPr>
        <w:rPr>
          <w:szCs w:val="24"/>
        </w:rPr>
      </w:pPr>
      <w:r>
        <w:rPr>
          <w:szCs w:val="24"/>
        </w:rPr>
        <w:t>L</w:t>
      </w:r>
      <w:r w:rsidRPr="008C7B32">
        <w:rPr>
          <w:szCs w:val="24"/>
        </w:rPr>
        <w:t xml:space="preserve">ai sekmētu </w:t>
      </w:r>
      <w:r w:rsidR="0026377D">
        <w:rPr>
          <w:szCs w:val="24"/>
        </w:rPr>
        <w:t xml:space="preserve">SAM 1.1.1. kopīgo un specifisko </w:t>
      </w:r>
      <w:r w:rsidRPr="008C7B32">
        <w:rPr>
          <w:szCs w:val="24"/>
        </w:rPr>
        <w:t>iznākuma rādītāju izpildi un RIS3 mērķu sasniegšanu</w:t>
      </w:r>
      <w:r>
        <w:rPr>
          <w:szCs w:val="24"/>
        </w:rPr>
        <w:t>,</w:t>
      </w:r>
      <w:r w:rsidRPr="008C7B32">
        <w:rPr>
          <w:szCs w:val="24"/>
        </w:rPr>
        <w:t xml:space="preserve"> </w:t>
      </w:r>
      <w:r w:rsidR="004D1C05">
        <w:rPr>
          <w:szCs w:val="24"/>
        </w:rPr>
        <w:t xml:space="preserve">nākamajās SAM </w:t>
      </w:r>
      <w:r w:rsidRPr="008C7B32" w:rsidR="004D1C05">
        <w:rPr>
          <w:szCs w:val="24"/>
        </w:rPr>
        <w:t>1.1.1. pasākumu atlases kārt</w:t>
      </w:r>
      <w:r w:rsidR="004D1C05">
        <w:rPr>
          <w:szCs w:val="24"/>
        </w:rPr>
        <w:t>ās</w:t>
      </w:r>
      <w:r w:rsidRPr="008C7B32" w:rsidR="004D1C05">
        <w:rPr>
          <w:szCs w:val="24"/>
        </w:rPr>
        <w:t xml:space="preserve"> </w:t>
      </w:r>
      <w:r w:rsidR="00C07944">
        <w:rPr>
          <w:szCs w:val="24"/>
        </w:rPr>
        <w:t>atbilstoši šī ziņojuma 2.5. sadaļā</w:t>
      </w:r>
      <w:r w:rsidR="003C44FA">
        <w:rPr>
          <w:szCs w:val="24"/>
        </w:rPr>
        <w:t xml:space="preserve"> aprakstītajiem risinājumiem </w:t>
      </w:r>
      <w:r w:rsidRPr="008C7B32" w:rsidR="008C7B32">
        <w:rPr>
          <w:szCs w:val="24"/>
        </w:rPr>
        <w:t xml:space="preserve">plānots </w:t>
      </w:r>
      <w:r w:rsidR="004D1C05">
        <w:rPr>
          <w:szCs w:val="24"/>
        </w:rPr>
        <w:t>īstenot</w:t>
      </w:r>
      <w:r w:rsidRPr="008C7B32" w:rsidR="008C7B32">
        <w:rPr>
          <w:szCs w:val="24"/>
        </w:rPr>
        <w:t xml:space="preserve"> </w:t>
      </w:r>
      <w:r w:rsidR="004D1C05">
        <w:rPr>
          <w:szCs w:val="24"/>
        </w:rPr>
        <w:t>saturiskus</w:t>
      </w:r>
      <w:r w:rsidR="003C44FA">
        <w:rPr>
          <w:szCs w:val="24"/>
        </w:rPr>
        <w:t>,</w:t>
      </w:r>
      <w:r w:rsidR="004D1C05">
        <w:rPr>
          <w:szCs w:val="24"/>
        </w:rPr>
        <w:t xml:space="preserve"> procedurālus </w:t>
      </w:r>
      <w:r w:rsidR="003C44FA">
        <w:rPr>
          <w:szCs w:val="24"/>
        </w:rPr>
        <w:t xml:space="preserve">un tehniskus </w:t>
      </w:r>
      <w:r w:rsidR="004D1C05">
        <w:rPr>
          <w:szCs w:val="24"/>
        </w:rPr>
        <w:t xml:space="preserve">labojumus, tai skaitā veikt </w:t>
      </w:r>
      <w:r w:rsidRPr="008C7B32" w:rsidR="008C7B32">
        <w:rPr>
          <w:szCs w:val="24"/>
        </w:rPr>
        <w:t>grozījumus MK noteikumos</w:t>
      </w:r>
      <w:r w:rsidR="004D1C05">
        <w:rPr>
          <w:szCs w:val="24"/>
        </w:rPr>
        <w:t xml:space="preserve"> par </w:t>
      </w:r>
      <w:r w:rsidR="0026377D">
        <w:rPr>
          <w:szCs w:val="24"/>
        </w:rPr>
        <w:t xml:space="preserve">SAM 1.1.1. </w:t>
      </w:r>
      <w:r w:rsidR="004D1C05">
        <w:rPr>
          <w:szCs w:val="24"/>
        </w:rPr>
        <w:t>pasākumu īstenošanu</w:t>
      </w:r>
      <w:r w:rsidRPr="008C7B32" w:rsidR="008C7B32">
        <w:rPr>
          <w:szCs w:val="24"/>
        </w:rPr>
        <w:t xml:space="preserve">, </w:t>
      </w:r>
      <w:r w:rsidR="0026377D">
        <w:rPr>
          <w:lang w:eastAsia="lv-LV"/>
        </w:rPr>
        <w:t>precizēt</w:t>
      </w:r>
      <w:r w:rsidR="0026377D">
        <w:t xml:space="preserve"> nākamo pētniecības iesniegumu atlases kārtu nolikumus, veikt p</w:t>
      </w:r>
      <w:r w:rsidR="0026377D">
        <w:rPr>
          <w:lang w:eastAsia="lv-LV"/>
        </w:rPr>
        <w:t>rojektu iesniegumu vērtēšanas kritērij</w:t>
      </w:r>
      <w:r w:rsidR="0026377D">
        <w:t>u grozījumus, aktualizēt vērtēšanas kritēriju piemērošanas metodiku</w:t>
      </w:r>
      <w:r w:rsidRPr="008C7B32" w:rsidR="0026377D">
        <w:rPr>
          <w:szCs w:val="24"/>
        </w:rPr>
        <w:t xml:space="preserve"> </w:t>
      </w:r>
      <w:r w:rsidRPr="008C7B32" w:rsidR="008C7B32">
        <w:rPr>
          <w:szCs w:val="24"/>
        </w:rPr>
        <w:t>un</w:t>
      </w:r>
      <w:r w:rsidRPr="008C7B32" w:rsidR="003F23E8">
        <w:rPr>
          <w:szCs w:val="24"/>
        </w:rPr>
        <w:t xml:space="preserve"> </w:t>
      </w:r>
      <w:r w:rsidRPr="008C7B32" w:rsidR="008C7B32">
        <w:rPr>
          <w:szCs w:val="24"/>
        </w:rPr>
        <w:t xml:space="preserve">veikt </w:t>
      </w:r>
      <w:r w:rsidR="0026377D">
        <w:rPr>
          <w:szCs w:val="24"/>
        </w:rPr>
        <w:t xml:space="preserve">citas </w:t>
      </w:r>
      <w:r w:rsidRPr="008C7B32" w:rsidR="008C7B32">
        <w:rPr>
          <w:szCs w:val="24"/>
        </w:rPr>
        <w:t xml:space="preserve">procedurālas darbības, lai uzlabotu </w:t>
      </w:r>
      <w:r w:rsidR="00B95139">
        <w:rPr>
          <w:szCs w:val="24"/>
        </w:rPr>
        <w:t>EK</w:t>
      </w:r>
      <w:r w:rsidRPr="008C7B32" w:rsidR="008C7B32">
        <w:rPr>
          <w:szCs w:val="24"/>
        </w:rPr>
        <w:t xml:space="preserve"> ekspertu datubāzē iekļauto ekspertu vērtējum</w:t>
      </w:r>
      <w:r w:rsidR="008C7B32">
        <w:rPr>
          <w:szCs w:val="24"/>
        </w:rPr>
        <w:t>a</w:t>
      </w:r>
      <w:r w:rsidRPr="008C7B32" w:rsidR="008C7B32">
        <w:rPr>
          <w:szCs w:val="24"/>
        </w:rPr>
        <w:t xml:space="preserve"> </w:t>
      </w:r>
      <w:r w:rsidR="008C7B32">
        <w:rPr>
          <w:szCs w:val="24"/>
        </w:rPr>
        <w:t>saturu un kvalitāti</w:t>
      </w:r>
      <w:r w:rsidRPr="008C7B32" w:rsidR="008C7B32">
        <w:rPr>
          <w:szCs w:val="24"/>
        </w:rPr>
        <w:t>.</w:t>
      </w:r>
      <w:r w:rsidR="007D1CD3">
        <w:rPr>
          <w:szCs w:val="24"/>
        </w:rPr>
        <w:t xml:space="preserve"> </w:t>
      </w:r>
      <w:r>
        <w:rPr>
          <w:szCs w:val="24"/>
        </w:rPr>
        <w:t>Uzlabojumus plānots veikt, ņemot vērā CFLA, VIAA, LJZA, VM un citu institūciju sniegtos priekšlikumus, kas apkopoti šī Ziņojuma 2. pielikumā.</w:t>
      </w:r>
    </w:p>
    <w:p w:rsidR="00531C65" w:rsidRPr="00EE69C3" w:rsidP="003F23E8" w14:paraId="4AB3F72F" w14:textId="36BD6D5F">
      <w:pPr>
        <w:rPr>
          <w:b/>
          <w:szCs w:val="24"/>
        </w:rPr>
      </w:pPr>
      <w:r w:rsidRPr="00EE69C3">
        <w:rPr>
          <w:b/>
          <w:szCs w:val="24"/>
        </w:rPr>
        <w:t xml:space="preserve">Ziņojumā minētie </w:t>
      </w:r>
      <w:r w:rsidR="006D7CF6">
        <w:rPr>
          <w:b/>
          <w:szCs w:val="24"/>
        </w:rPr>
        <w:t xml:space="preserve">saturisko un </w:t>
      </w:r>
      <w:r w:rsidRPr="00EE69C3">
        <w:rPr>
          <w:b/>
          <w:szCs w:val="24"/>
        </w:rPr>
        <w:t xml:space="preserve">ieviešanas nosacījumu uzlabojumi un precizējumi tiks apspriesti un galā redakcijā saskaņoti </w:t>
      </w:r>
      <w:r w:rsidR="006D7CF6">
        <w:rPr>
          <w:b/>
          <w:szCs w:val="24"/>
        </w:rPr>
        <w:t xml:space="preserve">darbības programmas, </w:t>
      </w:r>
      <w:r w:rsidRPr="00EE69C3">
        <w:rPr>
          <w:b/>
          <w:szCs w:val="24"/>
        </w:rPr>
        <w:t xml:space="preserve">SAM 1.1.1. pasākumu MK noteikumu </w:t>
      </w:r>
      <w:r w:rsidR="006D7CF6">
        <w:rPr>
          <w:b/>
          <w:szCs w:val="24"/>
        </w:rPr>
        <w:t xml:space="preserve">grozījumu </w:t>
      </w:r>
      <w:r w:rsidRPr="00EE69C3">
        <w:rPr>
          <w:b/>
          <w:szCs w:val="24"/>
        </w:rPr>
        <w:t>un citu saistošo dokumentu saskaņošanas procesā.</w:t>
      </w:r>
    </w:p>
    <w:p w:rsidR="003F23E8" w:rsidRPr="00F77DD2" w:rsidP="003F23E8" w14:paraId="28BE3ADA" w14:textId="77777777">
      <w:r w:rsidRPr="00F77DD2">
        <w:t>Veicot izmaiņas SAM 1.1.1. pasākumu īstenošanas nosacījumos, tiks nodrošināta aktualizēto noteikumu atbilstība komercdarbības atbalsta kontroles regulējumam.</w:t>
      </w:r>
    </w:p>
    <w:p w:rsidR="00266B04" w:rsidP="007E1981" w14:paraId="24E476F8" w14:textId="77777777">
      <w:pPr>
        <w:pStyle w:val="Heading2"/>
        <w:rPr>
          <w:lang w:eastAsia="lv-LV"/>
        </w:rPr>
      </w:pPr>
      <w:bookmarkStart w:id="112" w:name="_Toc494727609"/>
      <w:bookmarkStart w:id="113" w:name="_Toc499019523"/>
      <w:bookmarkStart w:id="114" w:name="_Toc505086379"/>
      <w:bookmarkStart w:id="115" w:name="_Toc256000017"/>
      <w:bookmarkStart w:id="116" w:name="_Toc256000044"/>
      <w:r>
        <w:rPr>
          <w:lang w:eastAsia="lv-LV"/>
        </w:rPr>
        <w:t>3</w:t>
      </w:r>
      <w:r>
        <w:rPr>
          <w:lang w:eastAsia="lv-LV"/>
        </w:rPr>
        <w:t xml:space="preserve">.1. Projektu iesniegumu </w:t>
      </w:r>
      <w:r w:rsidR="006B63EB">
        <w:rPr>
          <w:lang w:eastAsia="lv-LV"/>
        </w:rPr>
        <w:t>atlase</w:t>
      </w:r>
      <w:bookmarkEnd w:id="116"/>
      <w:bookmarkEnd w:id="115"/>
      <w:bookmarkEnd w:id="112"/>
      <w:bookmarkEnd w:id="113"/>
      <w:bookmarkEnd w:id="114"/>
    </w:p>
    <w:p w:rsidR="00266B04" w:rsidRPr="00212730" w:rsidP="007E1981" w14:paraId="6BB4BD4A" w14:textId="77777777">
      <w:pPr>
        <w:pStyle w:val="Heading3"/>
      </w:pPr>
      <w:bookmarkStart w:id="117" w:name="_Toc499019524"/>
      <w:bookmarkStart w:id="118" w:name="_Toc505086380"/>
      <w:bookmarkStart w:id="119" w:name="_Toc256000018"/>
      <w:bookmarkStart w:id="120" w:name="_Toc256000045"/>
      <w:r>
        <w:t>3.1.1. </w:t>
      </w:r>
      <w:r w:rsidRPr="002E12C1">
        <w:t>Praktiskas ievirzes pētījumi</w:t>
      </w:r>
      <w:bookmarkEnd w:id="120"/>
      <w:bookmarkEnd w:id="119"/>
      <w:bookmarkEnd w:id="117"/>
      <w:bookmarkEnd w:id="118"/>
    </w:p>
    <w:p w:rsidR="004A774C" w:rsidP="007E1981" w14:paraId="0FCEBEBD" w14:textId="77777777">
      <w:pPr>
        <w:pStyle w:val="Heading4"/>
      </w:pPr>
      <w:r>
        <w:t xml:space="preserve">Projektu iesniegumu atlases nolikums </w:t>
      </w:r>
    </w:p>
    <w:p w:rsidR="004A774C" w:rsidP="00B142A8" w14:paraId="09782012" w14:textId="77777777">
      <w:pPr>
        <w:ind w:firstLine="357"/>
      </w:pPr>
      <w:r>
        <w:t>Praktiskas ievirzes pētījumu programmas</w:t>
      </w:r>
      <w:r>
        <w:t xml:space="preserve"> </w:t>
      </w:r>
      <w:r w:rsidR="00612D7D">
        <w:t xml:space="preserve">otrās </w:t>
      </w:r>
      <w:r>
        <w:t xml:space="preserve">projektu iesniegumu </w:t>
      </w:r>
      <w:r w:rsidRPr="003F23E8">
        <w:t xml:space="preserve">atlases </w:t>
      </w:r>
      <w:r w:rsidR="00612D7D">
        <w:t xml:space="preserve">kārtas </w:t>
      </w:r>
      <w:r w:rsidRPr="003F23E8">
        <w:t>nolikum</w:t>
      </w:r>
      <w:r>
        <w:t>ā</w:t>
      </w:r>
      <w:r w:rsidR="00883D1E">
        <w:t xml:space="preserve"> plānots </w:t>
      </w:r>
      <w:r w:rsidR="0014727F">
        <w:t>ietvert šādus nosacījumus</w:t>
      </w:r>
      <w:r>
        <w:t>:</w:t>
      </w:r>
    </w:p>
    <w:p w:rsidR="00495C28" w:rsidRPr="00C25823" w:rsidP="00160F57" w14:paraId="607309FC" w14:textId="77777777">
      <w:pPr>
        <w:pStyle w:val="ListParagraph"/>
      </w:pPr>
      <w:r>
        <w:t>1</w:t>
      </w:r>
      <w:r w:rsidRPr="00495C28">
        <w:t>. </w:t>
      </w:r>
      <w:r w:rsidR="005E6693">
        <w:t>j</w:t>
      </w:r>
      <w:r w:rsidRPr="00495C28">
        <w:t xml:space="preserve">a vairākiem projektu iesniegumiem piešķirts vienāds punktu skaits, prioritāri atbalstāmi projekta iesniegumi (šī ziņojuma 2.5. sadaļas </w:t>
      </w:r>
      <w:r w:rsidR="005E6693">
        <w:t>5</w:t>
      </w:r>
      <w:r w:rsidRPr="00495C28">
        <w:t>.punkt</w:t>
      </w:r>
      <w:r w:rsidR="00E34E19">
        <w:t>s</w:t>
      </w:r>
      <w:r w:rsidRPr="00495C28">
        <w:t>):</w:t>
      </w:r>
    </w:p>
    <w:p w:rsidR="00495C28" w:rsidRPr="00C25823" w:rsidP="00160F57" w14:paraId="3852F246" w14:textId="125BA062">
      <w:pPr>
        <w:pStyle w:val="ListParagraph"/>
      </w:pPr>
      <w:r>
        <w:t>1</w:t>
      </w:r>
      <w:r w:rsidRPr="00C25823">
        <w:t>.1. kuriem augstāks vērtējums kvalitātes kritērijā “</w:t>
      </w:r>
      <w:r w:rsidR="005E6693">
        <w:t>Izcilība</w:t>
      </w:r>
      <w:r w:rsidRPr="00C25823">
        <w:t>”</w:t>
      </w:r>
      <w:r w:rsidR="005E6693">
        <w:t xml:space="preserve"> </w:t>
      </w:r>
      <w:r w:rsidR="00CD34B4">
        <w:t xml:space="preserve">atbilstoši </w:t>
      </w:r>
      <w:r w:rsidR="005E6693">
        <w:t>programma</w:t>
      </w:r>
      <w:r w:rsidR="00CD34B4">
        <w:t>s</w:t>
      </w:r>
      <w:r w:rsidR="005E6693">
        <w:t xml:space="preserve"> “Apvārsnis 2020” projektu iesniegumu vērtēšanas </w:t>
      </w:r>
      <w:r w:rsidR="00596772">
        <w:t>noteikumi</w:t>
      </w:r>
      <w:r w:rsidR="00CD34B4">
        <w:t>em</w:t>
      </w:r>
      <w:r w:rsidRPr="00C25823">
        <w:t>;</w:t>
      </w:r>
    </w:p>
    <w:p w:rsidR="00AC0DAD" w:rsidRPr="00F77DD2" w:rsidP="00160F57" w14:paraId="61252638" w14:textId="77777777">
      <w:pPr>
        <w:pStyle w:val="ListParagraph"/>
      </w:pPr>
      <w:r w:rsidRPr="00F77DD2">
        <w:t>1.2. kuru rezultāti tieši sekmē Latvijas inovācijas kapacitātes palielināšanos, ko raksturo</w:t>
      </w:r>
      <w:r w:rsidRPr="00F77DD2" w:rsidR="00596772">
        <w:t xml:space="preserve"> projekta ieguldījums</w:t>
      </w:r>
      <w:r w:rsidRPr="00F77DD2">
        <w:t>:</w:t>
      </w:r>
    </w:p>
    <w:p w:rsidR="00AC0DAD" w:rsidRPr="00F77DD2" w:rsidP="00124CD6" w14:paraId="6938146C" w14:textId="77777777">
      <w:pPr>
        <w:pStyle w:val="BulletF"/>
      </w:pPr>
      <w:r w:rsidRPr="00F77DD2">
        <w:t>cilvēkkapitāla attīstībā, pētniecībai piesaistot</w:t>
      </w:r>
      <w:r w:rsidRPr="00F77DD2" w:rsidR="001E63D3">
        <w:t xml:space="preserve"> </w:t>
      </w:r>
      <w:r w:rsidRPr="00F77DD2">
        <w:t>pētniekus (tai skaitā ārvalstu</w:t>
      </w:r>
      <w:r w:rsidRPr="006668AC">
        <w:t>)</w:t>
      </w:r>
      <w:r w:rsidR="001E63D3">
        <w:t xml:space="preserve"> un </w:t>
      </w:r>
      <w:r w:rsidRPr="006668AC" w:rsidR="001E63D3">
        <w:t>studējošos</w:t>
      </w:r>
      <w:r w:rsidR="001E63D3">
        <w:t xml:space="preserve"> kā </w:t>
      </w:r>
      <w:r w:rsidR="00ED2182">
        <w:t>zinātniskos</w:t>
      </w:r>
      <w:r w:rsidR="001E63D3">
        <w:t xml:space="preserve"> asistentus</w:t>
      </w:r>
      <w:r w:rsidRPr="006668AC">
        <w:t>,</w:t>
      </w:r>
      <w:r w:rsidRPr="00F77DD2">
        <w:t xml:space="preserve"> kā rezultātā palielinās kopējais institūcijā pētniecībā tieši iesaistīto pētnieku skaits (iznākuma rādītājs i.1.1.1.bk (CO24))</w:t>
      </w:r>
      <w:r w:rsidRPr="00F77DD2">
        <w:t>;</w:t>
      </w:r>
    </w:p>
    <w:p w:rsidR="00AC0DAD" w:rsidRPr="00F77DD2" w:rsidP="00124CD6" w14:paraId="27746A86" w14:textId="3DE6F4AE">
      <w:pPr>
        <w:pStyle w:val="BulletF"/>
      </w:pPr>
      <w:r w:rsidRPr="00F77DD2">
        <w:t xml:space="preserve">uzņēmumu konkurētspējas un produktivitātes palielināšanā, ko sekmē projekta ietvaros izstrādātie jauno </w:t>
      </w:r>
      <w:r w:rsidRPr="006668AC">
        <w:t>produk</w:t>
      </w:r>
      <w:r w:rsidR="006D2606">
        <w:t>t</w:t>
      </w:r>
      <w:r w:rsidRPr="006668AC">
        <w:t>u</w:t>
      </w:r>
      <w:r w:rsidRPr="00F77DD2">
        <w:t xml:space="preserve"> vai tehnoloģiju prototipi</w:t>
      </w:r>
      <w:r w:rsidR="00F51CB4">
        <w:t xml:space="preserve"> </w:t>
      </w:r>
      <w:r w:rsidRPr="00F77DD2" w:rsidR="00F51CB4">
        <w:t>(iznākuma rādītājs i.1.1.1.g)</w:t>
      </w:r>
      <w:r w:rsidRPr="00F77DD2">
        <w:t>, kurus projekta dzīves cikla laikā plānots ieviest ražošanā vai pakalpojumu sniegšanā</w:t>
      </w:r>
      <w:r w:rsidRPr="00F77DD2">
        <w:t>.</w:t>
      </w:r>
    </w:p>
    <w:p w:rsidR="00B70691" w:rsidRPr="00CD6CDB" w:rsidP="00160F57" w14:paraId="382750C0" w14:textId="6FBE487F">
      <w:pPr>
        <w:pStyle w:val="ListParagraph"/>
      </w:pPr>
      <w:r w:rsidRPr="00CD6CDB">
        <w:t>2. Ievērojot Eiropas Parlamenta un Padomes 2013. gada 11. decembra Regulas (ES) Nr. 1290/2013, ar ko nosaka pētniecības un inovācijas pamatprogrammas "Apvārsnis 2020" (2014.–2020. gads) dalības un rezultātu izplatīšanas noteikumus un atceļ Regulu (EK) Nr. 1906/2006 40. panta 2. punkta nosacījumus</w:t>
      </w:r>
      <w:r>
        <w:rPr>
          <w:rStyle w:val="FootnoteReference"/>
        </w:rPr>
        <w:footnoteReference w:id="15"/>
      </w:r>
      <w:r w:rsidR="00BA4AFF">
        <w:t xml:space="preserve"> un 1.1.1.1. pasākuma projektu iesniegumu kvalitātes vērtēšanas kritērijus</w:t>
      </w:r>
      <w:r w:rsidRPr="00CD6CDB">
        <w:t xml:space="preserve">, </w:t>
      </w:r>
      <w:r w:rsidR="00CD34B4">
        <w:t xml:space="preserve">piesaista EK ekspertus ar doktora zinātnisko grādu, kuram ir </w:t>
      </w:r>
      <w:r w:rsidR="00BA4AFF">
        <w:t xml:space="preserve">pieredze pētniecības kvalitātes novērtēšanā (kritērijs “Izcilība”) un </w:t>
      </w:r>
      <w:r w:rsidR="00CD34B4">
        <w:t>zināšanas projekta rezultātu sociālekonomiskās atdeves novērtēšanā</w:t>
      </w:r>
      <w:r w:rsidR="00BA4AFF">
        <w:t xml:space="preserve"> (kritērijs “Ietekme”)</w:t>
      </w:r>
      <w:r w:rsidR="00CD34B4">
        <w:t>.</w:t>
      </w:r>
      <w:r w:rsidRPr="00CD6CDB">
        <w:t xml:space="preserve"> </w:t>
      </w:r>
    </w:p>
    <w:p w:rsidR="000322BE" w:rsidRPr="00C115C6" w:rsidP="00160F57" w14:paraId="5751A6D2" w14:textId="77777777">
      <w:pPr>
        <w:pStyle w:val="ListParagraph"/>
      </w:pPr>
      <w:r>
        <w:t>3</w:t>
      </w:r>
      <w:r w:rsidRPr="00C115C6" w:rsidR="00217536">
        <w:t>. </w:t>
      </w:r>
      <w:r w:rsidRPr="00C115C6" w:rsidR="00B95474">
        <w:t xml:space="preserve">EK eksperti </w:t>
      </w:r>
      <w:r w:rsidRPr="00C115C6" w:rsidR="002674CB">
        <w:t>vienojas par</w:t>
      </w:r>
      <w:r w:rsidRPr="00C115C6" w:rsidR="00B95474">
        <w:t xml:space="preserve"> </w:t>
      </w:r>
      <w:r w:rsidRPr="00C115C6" w:rsidR="004159F8">
        <w:t xml:space="preserve">katra </w:t>
      </w:r>
      <w:r w:rsidRPr="00C115C6" w:rsidR="00B95474">
        <w:t>kvalitātes kritērij</w:t>
      </w:r>
      <w:r w:rsidRPr="00C115C6" w:rsidR="004159F8">
        <w:t>a</w:t>
      </w:r>
      <w:r w:rsidRPr="00C115C6" w:rsidR="00B95474">
        <w:t xml:space="preserve"> </w:t>
      </w:r>
      <w:r w:rsidRPr="00C115C6" w:rsidR="00E76A05">
        <w:t xml:space="preserve">konsolidētu </w:t>
      </w:r>
      <w:r w:rsidRPr="00C115C6" w:rsidR="00B95474">
        <w:t>vērtējumu</w:t>
      </w:r>
      <w:r w:rsidR="00924AD9">
        <w:t xml:space="preserve">. </w:t>
      </w:r>
      <w:r w:rsidRPr="00F77DD2" w:rsidR="00924AD9">
        <w:t>Ja piesaistītie eksperti nespēj vienoties par konsolidēto vērtējumu, projekta iesnieguma kvalitātes vērtēšanai piesaista trešo ekspertu.</w:t>
      </w:r>
      <w:r w:rsidRPr="00C115C6">
        <w:t xml:space="preserve"> </w:t>
      </w:r>
      <w:r w:rsidRPr="00C115C6" w:rsidR="00A94982">
        <w:t xml:space="preserve">(šī ziņojuma 2.5. sadaļas </w:t>
      </w:r>
      <w:r w:rsidRPr="00C115C6" w:rsidR="00E76A05">
        <w:t>10</w:t>
      </w:r>
      <w:r w:rsidRPr="00C115C6" w:rsidR="00A94982">
        <w:t>.</w:t>
      </w:r>
      <w:r w:rsidRPr="00C115C6" w:rsidR="00FB582F">
        <w:t xml:space="preserve"> </w:t>
      </w:r>
      <w:r w:rsidRPr="00C115C6" w:rsidR="00A94982">
        <w:t>punkt</w:t>
      </w:r>
      <w:r w:rsidR="00D379AF">
        <w:t>s</w:t>
      </w:r>
      <w:r w:rsidRPr="00C115C6" w:rsidR="00A94982">
        <w:t>)</w:t>
      </w:r>
      <w:r w:rsidR="00B142A8">
        <w:t>.</w:t>
      </w:r>
    </w:p>
    <w:p w:rsidR="00BF12D7" w:rsidP="00160F57" w14:paraId="7279B4A8" w14:textId="77777777">
      <w:pPr>
        <w:pStyle w:val="ListParagraph"/>
      </w:pPr>
      <w:r>
        <w:t>4</w:t>
      </w:r>
      <w:r w:rsidRPr="00C115C6" w:rsidR="00217536">
        <w:t>. </w:t>
      </w:r>
      <w:r w:rsidR="00B142A8">
        <w:t>V</w:t>
      </w:r>
      <w:r w:rsidRPr="00C115C6" w:rsidR="00B95474">
        <w:t xml:space="preserve">ērtēšanas komisija vērtē EK eksperta atzinuma atbilstību MK noteikumu Nr. </w:t>
      </w:r>
      <w:r w:rsidRPr="00C115C6" w:rsidR="0026377D">
        <w:t>34</w:t>
      </w:r>
      <w:r w:rsidRPr="00C115C6" w:rsidR="00B95474">
        <w:t xml:space="preserve"> un projekta iesniegumu atlasi reglamentējošo dokumentu nosacījumiem</w:t>
      </w:r>
      <w:r w:rsidRPr="00C115C6" w:rsidR="00217536">
        <w:t xml:space="preserve"> un nepieciešamības gadījumā EK ekspertam lūdz atkārtoti iesniegt atzinumu, ja atzinumā eksperta viedoklis nav pamatots vai nav ievēroti MK noteikumi vai projekta iesniegumu atlasi reglamentējošo dokumentu nosacījumi</w:t>
      </w:r>
      <w:r w:rsidRPr="00C115C6" w:rsidR="00495C28">
        <w:t>.</w:t>
      </w:r>
    </w:p>
    <w:p w:rsidR="000D6DCF" w:rsidRPr="00F77DD2" w:rsidP="00160F57" w14:paraId="4214803A" w14:textId="77777777">
      <w:pPr>
        <w:pStyle w:val="ListParagraph"/>
      </w:pPr>
      <w:r w:rsidRPr="00CD6CDB">
        <w:t>5</w:t>
      </w:r>
      <w:r w:rsidRPr="00F77DD2">
        <w:t>. </w:t>
      </w:r>
      <w:r w:rsidRPr="00F77DD2" w:rsidR="00E34E19">
        <w:t>N</w:t>
      </w:r>
      <w:r w:rsidRPr="00F77DD2">
        <w:t>olikumā ietver apelācijas procedūras kārtību kvalitātes kritērija “zaļais iepirkums” izvērtējumam.</w:t>
      </w:r>
    </w:p>
    <w:p w:rsidR="006B63EB" w:rsidP="00EC19AE" w14:paraId="2787F9D4" w14:textId="77777777">
      <w:pPr>
        <w:pStyle w:val="Heading4"/>
      </w:pPr>
      <w:r>
        <w:t>Vērtēšanas kritēriju piemērošanas metodika</w:t>
      </w:r>
    </w:p>
    <w:p w:rsidR="007B42B1" w:rsidP="00EC19AE" w14:paraId="2687FBCE" w14:textId="77777777">
      <w:r>
        <w:t xml:space="preserve"> Plānotie grozījumi </w:t>
      </w:r>
      <w:r w:rsidR="001E63D3">
        <w:t>Praktiskas ievirzes pētījumu programmas</w:t>
      </w:r>
      <w:r w:rsidR="00EC19AE">
        <w:t xml:space="preserve"> projektu iesniegumu </w:t>
      </w:r>
      <w:r>
        <w:t>vērtēšanas kritēriju piemērošanas metodikā paredz:</w:t>
      </w:r>
    </w:p>
    <w:p w:rsidR="000F1DD1" w:rsidRPr="002551AF" w:rsidP="00160F57" w14:paraId="49D3D3BE" w14:textId="52AF7375">
      <w:pPr>
        <w:pStyle w:val="ListParagraph"/>
      </w:pPr>
      <w:r>
        <w:t>6</w:t>
      </w:r>
      <w:r w:rsidRPr="002551AF">
        <w:t>. </w:t>
      </w:r>
      <w:r w:rsidR="00B142A8">
        <w:t>P</w:t>
      </w:r>
      <w:r w:rsidRPr="002551AF" w:rsidR="009B1470">
        <w:t xml:space="preserve">apildināt 1.3. kritērija piemērošanas metodiku, norādot, ka vērtē projekta iesniegumā sniegto informāciju par pētniecības īstenošanā iesaistītajiem </w:t>
      </w:r>
      <w:r w:rsidR="00CD34B4">
        <w:t>jaunajiem</w:t>
      </w:r>
      <w:r w:rsidRPr="002551AF" w:rsidR="009B1470">
        <w:t xml:space="preserve"> pētniekiem</w:t>
      </w:r>
      <w:r w:rsidR="00926183">
        <w:t xml:space="preserve"> </w:t>
      </w:r>
      <w:r w:rsidRPr="002551AF" w:rsidR="009B1470">
        <w:t>sadalījumā pa amata grupām: zinātnes tehniskais personāls</w:t>
      </w:r>
      <w:r w:rsidR="00CD34B4">
        <w:t xml:space="preserve"> un zinātniskais personāls:</w:t>
      </w:r>
      <w:r w:rsidRPr="002551AF" w:rsidR="009B1470">
        <w:t xml:space="preserve"> zinātniskie asistenti, pētnieki, vadošie pētnieki, norādot  konkrētās amata vietas statusu: 1) jauna </w:t>
      </w:r>
      <w:r w:rsidR="00CD34B4">
        <w:t xml:space="preserve">pētnieka </w:t>
      </w:r>
      <w:r w:rsidRPr="002551AF" w:rsidR="009B1470">
        <w:t>amata vieta, kā rezultātā palielinās kopējais zinātnisko darbinieku skaits institūcijā PLE izteiksmē</w:t>
      </w:r>
      <w:r w:rsidR="006D2606">
        <w:t xml:space="preserve">; 2) </w:t>
      </w:r>
      <w:r w:rsidRPr="002551AF" w:rsidR="006D2606">
        <w:t xml:space="preserve">jauna </w:t>
      </w:r>
      <w:r w:rsidR="00CD34B4">
        <w:t xml:space="preserve">zinātniskā </w:t>
      </w:r>
      <w:r w:rsidR="006D2606">
        <w:t xml:space="preserve">asistenta </w:t>
      </w:r>
      <w:r w:rsidRPr="002551AF" w:rsidR="006D2606">
        <w:t>amata vieta, kā rezultātā palielinās kopējais zinātnisko darbinieku s</w:t>
      </w:r>
      <w:r w:rsidR="006D2606">
        <w:t>kaits institūcijā PLE izteiksmē un pētniecībā tiek iesaistīti studējošie</w:t>
      </w:r>
      <w:r w:rsidR="00975B4F">
        <w:t xml:space="preserve"> un zinātniskā grāda pretendenti</w:t>
      </w:r>
      <w:r w:rsidRPr="002551AF" w:rsidR="009B1470">
        <w:t xml:space="preserve">; 2) esoša amata vieta, </w:t>
      </w:r>
      <w:r w:rsidR="00CD34B4">
        <w:t>zinātniskā personāla</w:t>
      </w:r>
      <w:r w:rsidRPr="002551AF" w:rsidR="009B1470">
        <w:t xml:space="preserve"> akadēmiskais statuss un slodze nemainās; 3) esoša amata vieta, vienlaikus nodrošina </w:t>
      </w:r>
      <w:r w:rsidR="00751419">
        <w:t>jaunā zinātnieka</w:t>
      </w:r>
      <w:r w:rsidRPr="002551AF" w:rsidR="009B1470">
        <w:t xml:space="preserve"> karjeras izaugsmi, tajā skaitā īstenojot personāla atjaunotni</w:t>
      </w:r>
      <w:r w:rsidR="006D2606">
        <w:t xml:space="preserve">. </w:t>
      </w:r>
      <w:r w:rsidRPr="002551AF" w:rsidR="009B1470">
        <w:t>Minētā informācija nepieciešama, lai novērtētu projekta ietekmi uz iznākuma rādītāju jaunu pētnieku skaits atbalstītajās vienībās PLE izteiksmē i.1.1.1.bk (CO24) izpildi</w:t>
      </w:r>
      <w:r w:rsidRPr="002551AF" w:rsidR="00061A67">
        <w:t xml:space="preserve"> (skat. šī ziņojuma 2.5. sadaļas 1.punktu)</w:t>
      </w:r>
      <w:r w:rsidR="00B142A8">
        <w:t>.</w:t>
      </w:r>
    </w:p>
    <w:p w:rsidR="00A17B0A" w:rsidP="002551AF" w14:paraId="5E6F0BEB" w14:textId="77777777">
      <w:pPr>
        <w:ind w:firstLine="357"/>
      </w:pPr>
      <w:r>
        <w:t>7</w:t>
      </w:r>
      <w:r w:rsidR="007B42B1">
        <w:t>. </w:t>
      </w:r>
      <w:r w:rsidR="00B142A8">
        <w:t>P</w:t>
      </w:r>
      <w:r w:rsidR="004A774C">
        <w:t>recizēt</w:t>
      </w:r>
      <w:r w:rsidR="007B42B1">
        <w:t xml:space="preserve"> kritērija </w:t>
      </w:r>
      <w:r w:rsidR="00A26E0A">
        <w:t>“</w:t>
      </w:r>
      <w:r w:rsidR="00CD6CDB">
        <w:t>I</w:t>
      </w:r>
      <w:r w:rsidR="007B42B1">
        <w:t>etekme</w:t>
      </w:r>
      <w:r w:rsidR="00A26E0A">
        <w:t>”</w:t>
      </w:r>
      <w:r w:rsidR="007B42B1">
        <w:t xml:space="preserve"> </w:t>
      </w:r>
      <w:r w:rsidR="004A774C">
        <w:t xml:space="preserve">vērtēšanas </w:t>
      </w:r>
      <w:r w:rsidR="007B42B1">
        <w:t xml:space="preserve">nosacījumus, kas </w:t>
      </w:r>
      <w:r w:rsidRPr="00A528E8" w:rsidR="007B42B1">
        <w:t xml:space="preserve">nodrošina </w:t>
      </w:r>
      <w:r w:rsidR="007B42B1">
        <w:t>tādu</w:t>
      </w:r>
      <w:r w:rsidR="000322BE">
        <w:t xml:space="preserve"> </w:t>
      </w:r>
      <w:r w:rsidRPr="00A528E8" w:rsidR="007B42B1">
        <w:t>pētniecības projektu atlasi</w:t>
      </w:r>
      <w:r w:rsidR="0073151D">
        <w:t xml:space="preserve"> (skat. 2.5. sadaļas </w:t>
      </w:r>
      <w:r w:rsidR="00D379AF">
        <w:t>5.,6</w:t>
      </w:r>
      <w:r w:rsidR="0073151D">
        <w:t>. punktu</w:t>
      </w:r>
      <w:r>
        <w:t>)</w:t>
      </w:r>
      <w:r w:rsidR="002551AF">
        <w:t>:</w:t>
      </w:r>
    </w:p>
    <w:p w:rsidR="009B1470" w:rsidP="002551AF" w14:paraId="652925CA" w14:textId="77777777">
      <w:pPr>
        <w:ind w:firstLine="357"/>
      </w:pPr>
      <w:r>
        <w:t>7</w:t>
      </w:r>
      <w:r w:rsidR="00A17B0A">
        <w:t>.1. </w:t>
      </w:r>
      <w:r w:rsidR="0026103D">
        <w:t xml:space="preserve">kam </w:t>
      </w:r>
      <w:r w:rsidR="007B42B1">
        <w:t xml:space="preserve">ir </w:t>
      </w:r>
      <w:r w:rsidRPr="00A528E8" w:rsidR="007B42B1">
        <w:t>vislielākais potenciāls</w:t>
      </w:r>
      <w:r w:rsidR="007B42B1">
        <w:t xml:space="preserve"> </w:t>
      </w:r>
      <w:r w:rsidRPr="008E3F65" w:rsidR="007B42B1">
        <w:rPr>
          <w:lang w:eastAsia="en-GB"/>
        </w:rPr>
        <w:t>RIS3 mērķ</w:t>
      </w:r>
      <w:r w:rsidR="007B42B1">
        <w:rPr>
          <w:lang w:eastAsia="en-GB"/>
        </w:rPr>
        <w:t>a</w:t>
      </w:r>
      <w:r w:rsidRPr="008E3F65" w:rsidR="007B42B1">
        <w:rPr>
          <w:lang w:eastAsia="en-GB"/>
        </w:rPr>
        <w:t xml:space="preserve"> sasniegšan</w:t>
      </w:r>
      <w:r w:rsidR="007B42B1">
        <w:rPr>
          <w:lang w:eastAsia="en-GB"/>
        </w:rPr>
        <w:t>ā</w:t>
      </w:r>
      <w:r w:rsidR="0026103D">
        <w:rPr>
          <w:lang w:eastAsia="en-GB"/>
        </w:rPr>
        <w:t xml:space="preserve"> </w:t>
      </w:r>
      <w:r w:rsidR="007B42B1">
        <w:t>un</w:t>
      </w:r>
      <w:r w:rsidR="0026103D">
        <w:t xml:space="preserve"> </w:t>
      </w:r>
      <w:r w:rsidR="007B42B1">
        <w:t>kas sniedz vislielāko ieguldījumu šādu RIS3 mikro</w:t>
      </w:r>
      <w:r w:rsidR="00FB582F">
        <w:t xml:space="preserve"> </w:t>
      </w:r>
      <w:r w:rsidR="007B42B1">
        <w:t>līmeņa rādītāju izpildē</w:t>
      </w:r>
      <w:r>
        <w:t>:</w:t>
      </w:r>
    </w:p>
    <w:p w:rsidR="00AC0DAD" w:rsidRPr="00F77DD2" w:rsidP="00124CD6" w14:paraId="769B940A" w14:textId="7520F976">
      <w:pPr>
        <w:pStyle w:val="BulletF"/>
      </w:pPr>
      <w:r w:rsidRPr="00F77DD2">
        <w:t>jaunradītās darba vietas, t.sk. tās, kurās nodarbināti zinātniskie darbinieki publiskā sektorā/ uzņēmējdarbības sektorā</w:t>
      </w:r>
      <w:r w:rsidRPr="006668AC" w:rsidR="00C16806">
        <w:t xml:space="preserve"> un tās, kurās nodarbināti studējošie</w:t>
      </w:r>
      <w:r w:rsidRPr="006668AC">
        <w:t>.</w:t>
      </w:r>
      <w:r w:rsidRPr="00F77DD2">
        <w:t xml:space="preserve"> Virzību uz rādītāja izpildi apliecina iznākuma rādītājs i.1.1.1.bk(CO24); </w:t>
      </w:r>
    </w:p>
    <w:p w:rsidR="00AC0DAD" w:rsidRPr="00F77DD2" w:rsidP="00124CD6" w14:paraId="498B45C8" w14:textId="165555FB">
      <w:pPr>
        <w:pStyle w:val="BulletF"/>
      </w:pPr>
      <w:r w:rsidRPr="00F77DD2">
        <w:t xml:space="preserve">uzņēmumu līdzfinansējums P&amp;A projektiem (EUR). Virzību uz rādītāja izpildi apliecina </w:t>
      </w:r>
      <w:r w:rsidRPr="006668AC" w:rsidR="001E63D3">
        <w:t>Praktiskas ievirzes pētījumu programmas</w:t>
      </w:r>
      <w:r w:rsidRPr="00F77DD2">
        <w:t xml:space="preserve"> ietvaros piesaistītās privātās investīcijas, kas papildina valsts atbalstu inovācijām vai pētniecības un attīstības projektiem (EUR), </w:t>
      </w:r>
      <w:r w:rsidR="00CD34B4">
        <w:t>(</w:t>
      </w:r>
      <w:r w:rsidRPr="00F77DD2">
        <w:t>i.1.1.1.f</w:t>
      </w:r>
      <w:r w:rsidR="00CD34B4">
        <w:t>)</w:t>
      </w:r>
      <w:r w:rsidRPr="00F77DD2">
        <w:t>;</w:t>
      </w:r>
    </w:p>
    <w:p w:rsidR="00AC0DAD" w:rsidRPr="00F77DD2" w:rsidP="00124CD6" w14:paraId="7F00F71F" w14:textId="7277AB5F">
      <w:pPr>
        <w:pStyle w:val="BulletF"/>
      </w:pPr>
      <w:r w:rsidRPr="00F77DD2">
        <w:t xml:space="preserve">zinātnisko institūciju licenču/patentu ieņēmumi (EUR). Virzību uz rādītāja izpildi apliecina iznākuma rādītājs </w:t>
      </w:r>
      <w:r w:rsidR="00920AD7">
        <w:t>PUD 1.1.1.g</w:t>
      </w:r>
      <w:r w:rsidRPr="00F77DD2">
        <w:t xml:space="preserve"> </w:t>
      </w:r>
      <w:r w:rsidR="00920AD7">
        <w:t>intelektuālā īpašuma licences līgumi</w:t>
      </w:r>
      <w:r w:rsidRPr="00F77DD2">
        <w:t xml:space="preserve">; </w:t>
      </w:r>
    </w:p>
    <w:p w:rsidR="00AC0DAD" w:rsidRPr="00F77DD2" w:rsidP="00124CD6" w14:paraId="63156EEC" w14:textId="208FE316">
      <w:pPr>
        <w:pStyle w:val="BulletF"/>
      </w:pPr>
      <w:r w:rsidRPr="00F77DD2">
        <w:t xml:space="preserve">P&amp;I projektos iesaistīto </w:t>
      </w:r>
      <w:r w:rsidRPr="006668AC" w:rsidR="00C16806">
        <w:t>studējošo</w:t>
      </w:r>
      <w:r w:rsidRPr="00F77DD2">
        <w:t xml:space="preserve"> </w:t>
      </w:r>
      <w:r w:rsidR="00920AD7">
        <w:t>un zinātniskā grāda pretendentu skaits</w:t>
      </w:r>
      <w:r w:rsidRPr="00F77DD2">
        <w:t>;</w:t>
      </w:r>
    </w:p>
    <w:p w:rsidR="00AC0DAD" w:rsidRPr="00F77DD2" w:rsidP="00124CD6" w14:paraId="484D4DF1" w14:textId="77777777">
      <w:pPr>
        <w:pStyle w:val="BulletF"/>
      </w:pPr>
      <w:r w:rsidRPr="00F77DD2">
        <w:t xml:space="preserve">zinātniskie raksti, kas publicēti starptautiskās datu bāzēs indeksētos žurnālos (Scopus, Web of Science)(iznākuma rādītājs i.1.1.1.e);  </w:t>
      </w:r>
    </w:p>
    <w:p w:rsidR="00AC0DAD" w:rsidRPr="00F77DD2" w:rsidP="00AC0DAD" w14:paraId="58B3FA34" w14:textId="77777777">
      <w:pPr>
        <w:ind w:firstLine="357"/>
      </w:pPr>
      <w:r w:rsidRPr="006668AC">
        <w:t>7</w:t>
      </w:r>
      <w:r w:rsidRPr="00F77DD2">
        <w:t xml:space="preserve">.2. kuriem vislielākā ietekme uz Latvijas inovācijas kapacitātes stiprināšanu, jaunu tirgus iespēju radīšanu, uzņēmumu konkurētspējas un izaugsmes veicināšanu, ko vērtē, ņemot vērā šādus aspektus: </w:t>
      </w:r>
    </w:p>
    <w:p w:rsidR="00AC0DAD" w:rsidRPr="00F77DD2" w:rsidP="00124CD6" w14:paraId="0B928D10" w14:textId="77777777">
      <w:pPr>
        <w:pStyle w:val="BulletF"/>
      </w:pPr>
      <w:r w:rsidRPr="00F77DD2">
        <w:t>projekta ietvaros izstrādāto jauno produktu / tehnoloģiju prototipu komercializācijas potenciāls, ko raksturo izstrādnes  gatavības līmenis (TRL) un inovācijas pakāpe;</w:t>
      </w:r>
    </w:p>
    <w:p w:rsidR="00AC0DAD" w:rsidRPr="00F77DD2" w:rsidP="00124CD6" w14:paraId="103A4F12" w14:textId="77777777">
      <w:pPr>
        <w:pStyle w:val="BulletF"/>
      </w:pPr>
      <w:r w:rsidRPr="00F77DD2">
        <w:t xml:space="preserve">projektu ietvaros radīto zināšanu un intelektuālā īpašuma tiesību pārvaldības plāns (projekta dzīves cikla laikā iegūstamās tehnoloģiju tiesības, noslēdzamie intelektuālā īpašuma licences līgumi); </w:t>
      </w:r>
    </w:p>
    <w:p w:rsidR="00AC0DAD" w:rsidRPr="00F77DD2" w:rsidP="00124CD6" w14:paraId="27F8181E" w14:textId="77777777">
      <w:pPr>
        <w:pStyle w:val="BulletF"/>
      </w:pPr>
      <w:r w:rsidRPr="00F77DD2">
        <w:t>virzība uz izstrādņu ieviešanu ražošanā vai pakalpojumu sniegšanā, ko apliecina šādi projekta īstenošanas laikā sagaidāmie rezultāti: jauno produktu un tehnoloģiju skaits, kas ir komercializējami un kuru izstrādei sniegts atbalsts” (i.1.1.1.g); tehnoloģiju tiesības (PUD 1.1.1.f); intelektuālā īpašuma licences līgumi (PUD 1.1.1.g);</w:t>
      </w:r>
    </w:p>
    <w:p w:rsidR="00AC0DAD" w:rsidRPr="00F77DD2" w:rsidP="00AC0DAD" w14:paraId="73C201AD" w14:textId="4AF3E556">
      <w:pPr>
        <w:ind w:firstLine="357"/>
      </w:pPr>
      <w:r w:rsidRPr="006668AC">
        <w:t>7</w:t>
      </w:r>
      <w:r w:rsidRPr="00F77DD2">
        <w:t>.3. kuru rezultāti sekmē ar klimata pārmaiņu, vidi vai citu ar sabiedrības vajadzību nodrošināšanu saistītu problēmjautājumu risināšanu</w:t>
      </w:r>
      <w:r w:rsidR="00C16806">
        <w:t xml:space="preserve"> atbilstoši RIS3 prioritātēm vai </w:t>
      </w:r>
      <w:r w:rsidR="00920AD7">
        <w:t>p</w:t>
      </w:r>
      <w:r w:rsidR="00C16806">
        <w:t>rioritārajiem virzieniem zinātnē 2018</w:t>
      </w:r>
      <w:r w:rsidR="00920AD7">
        <w:t>.</w:t>
      </w:r>
      <w:r w:rsidR="00C16806">
        <w:t>-2020.gadam</w:t>
      </w:r>
      <w:r w:rsidRPr="00F77DD2">
        <w:t>.</w:t>
      </w:r>
    </w:p>
    <w:p w:rsidR="00AC0DAD" w:rsidRPr="00F77DD2" w:rsidP="00AC0DAD" w14:paraId="74C72E53" w14:textId="77777777">
      <w:pPr>
        <w:ind w:firstLine="357"/>
      </w:pPr>
      <w:r w:rsidRPr="00F77DD2">
        <w:t xml:space="preserve">Vienlaikus metodikā plānots </w:t>
      </w:r>
      <w:r w:rsidRPr="00F77DD2" w:rsidR="00E34E19">
        <w:t xml:space="preserve">ietvert </w:t>
      </w:r>
      <w:r w:rsidR="00975B4F">
        <w:t>kritērijus</w:t>
      </w:r>
      <w:r w:rsidRPr="00F77DD2">
        <w:t xml:space="preserve"> projekta </w:t>
      </w:r>
      <w:r w:rsidRPr="00F77DD2" w:rsidR="00E34E19">
        <w:t xml:space="preserve">rezultātu </w:t>
      </w:r>
      <w:r w:rsidRPr="006668AC">
        <w:t>ilgtspēj</w:t>
      </w:r>
      <w:r w:rsidR="00975B4F">
        <w:t>as novērtēšanai</w:t>
      </w:r>
      <w:r w:rsidRPr="00F77DD2">
        <w:t>:</w:t>
      </w:r>
    </w:p>
    <w:p w:rsidR="00B70691" w:rsidRPr="00F77DD2" w:rsidP="00124CD6" w14:paraId="18491653" w14:textId="77777777">
      <w:pPr>
        <w:pStyle w:val="BulletF"/>
      </w:pPr>
      <w:r w:rsidRPr="00F77DD2">
        <w:t> </w:t>
      </w:r>
      <w:r w:rsidRPr="00F77DD2">
        <w:t>zināšanu un tehnoloģiju pārnese;</w:t>
      </w:r>
    </w:p>
    <w:p w:rsidR="00AC0DAD" w:rsidRPr="00F77DD2" w:rsidP="00124CD6" w14:paraId="46EA1E7B" w14:textId="3A72B561">
      <w:pPr>
        <w:pStyle w:val="BulletF"/>
      </w:pPr>
      <w:r w:rsidRPr="00F77DD2">
        <w:t> </w:t>
      </w:r>
      <w:r w:rsidRPr="00F77DD2">
        <w:t>projekta izstrādņu (prototipu) ieviešana ražošanā vai pakalpojumu sniegšanā</w:t>
      </w:r>
      <w:r w:rsidR="00920AD7">
        <w:t xml:space="preserve"> projekta dzīves cikla laikā</w:t>
      </w:r>
      <w:r w:rsidRPr="00F77DD2">
        <w:t>, sekmējot Latvijas inovācijas kapacitātes palielināšanu, jaunu tirgus iespēju radīšanu, uzņēmumu konkurētspēju vai nodrošinot sabiedrības vajadzības;</w:t>
      </w:r>
    </w:p>
    <w:p w:rsidR="00AC0DAD" w:rsidRPr="00F77DD2" w:rsidP="00124CD6" w14:paraId="1EA03498" w14:textId="704819AF">
      <w:pPr>
        <w:pStyle w:val="BulletF"/>
      </w:pPr>
      <w:r w:rsidRPr="00F77DD2">
        <w:t xml:space="preserve"> projekta ietvaros izveidotās </w:t>
      </w:r>
      <w:r w:rsidR="00920AD7">
        <w:t xml:space="preserve">jauna </w:t>
      </w:r>
      <w:r w:rsidRPr="00F77DD2">
        <w:t>pētnieka</w:t>
      </w:r>
      <w:r w:rsidRPr="006668AC" w:rsidR="00C16806">
        <w:t xml:space="preserve">, tai skaitā </w:t>
      </w:r>
      <w:r w:rsidR="00920AD7">
        <w:t xml:space="preserve">zinātniskā </w:t>
      </w:r>
      <w:r w:rsidRPr="006668AC" w:rsidR="00C16806">
        <w:t>asistenta</w:t>
      </w:r>
      <w:r w:rsidRPr="00F77DD2">
        <w:t xml:space="preserve"> amata (darba) vietas saglabāšana</w:t>
      </w:r>
      <w:r w:rsidR="00975B4F">
        <w:t xml:space="preserve"> piecus gadus pēc pēdējā maksājuma veikšanas</w:t>
      </w:r>
      <w:r w:rsidRPr="00F77DD2">
        <w:t>.</w:t>
      </w:r>
    </w:p>
    <w:p w:rsidR="006F2540" w:rsidP="006F2540" w14:paraId="030E71E1" w14:textId="2BACE772">
      <w:pPr>
        <w:ind w:firstLine="357"/>
      </w:pPr>
      <w:r>
        <w:t>8</w:t>
      </w:r>
      <w:r>
        <w:t>. </w:t>
      </w:r>
      <w:r w:rsidR="00B142A8">
        <w:t>J</w:t>
      </w:r>
      <w:r w:rsidRPr="00201176">
        <w:t xml:space="preserve">a vairākiem projektu iesniegumiem piešķirts vienāds punktu skaits, prioritāri atbalstāmi </w:t>
      </w:r>
      <w:r w:rsidR="00920AD7">
        <w:t xml:space="preserve">šādi </w:t>
      </w:r>
      <w:r w:rsidRPr="00201176">
        <w:t>projekta iesniegumi</w:t>
      </w:r>
      <w:r>
        <w:t>:</w:t>
      </w:r>
    </w:p>
    <w:p w:rsidR="006F2540" w:rsidRPr="004915ED" w:rsidP="00160F57" w14:paraId="5C33833A" w14:textId="77777777">
      <w:pPr>
        <w:pStyle w:val="ListParagraph"/>
      </w:pPr>
      <w:r>
        <w:t>8</w:t>
      </w:r>
      <w:r>
        <w:t>.1.</w:t>
      </w:r>
      <w:r w:rsidRPr="008557B0">
        <w:t xml:space="preserve"> </w:t>
      </w:r>
      <w:r w:rsidR="0026103D">
        <w:t xml:space="preserve">projekti, kuriem </w:t>
      </w:r>
      <w:r w:rsidRPr="008557B0">
        <w:t xml:space="preserve">augstāks vērtējums kvalitātes kritērijā </w:t>
      </w:r>
      <w:r>
        <w:t>“</w:t>
      </w:r>
      <w:r w:rsidR="00B70691">
        <w:t>Izcilība</w:t>
      </w:r>
      <w:r>
        <w:t>”;</w:t>
      </w:r>
    </w:p>
    <w:p w:rsidR="007B42B1" w:rsidP="00160F57" w14:paraId="3F3E34A5" w14:textId="77777777">
      <w:pPr>
        <w:pStyle w:val="ListParagraph"/>
      </w:pPr>
      <w:r>
        <w:t>8</w:t>
      </w:r>
      <w:r w:rsidRPr="004915ED" w:rsidR="006F2540">
        <w:t>.2. </w:t>
      </w:r>
      <w:r w:rsidR="0026103D">
        <w:t>projekti, kuru</w:t>
      </w:r>
      <w:r w:rsidRPr="004915ED" w:rsidR="006F2540">
        <w:t xml:space="preserve"> rezultāti tieši sekmē Latvijas inovācijas kapacitātes palielināšanos, ko raksturo </w:t>
      </w:r>
      <w:r w:rsidR="00495C28">
        <w:t xml:space="preserve">projekta dzīves cikla laikā plānotā projekta izstrādņu ieviešana ražošanā vai pakalpojumu sniegšanā. Virzību uz izstrādņu ieviešanu </w:t>
      </w:r>
      <w:r w:rsidR="004226B8">
        <w:t xml:space="preserve">ražošanā vai pakalpojumu sniegšanā </w:t>
      </w:r>
      <w:r w:rsidR="00495C28">
        <w:t xml:space="preserve">apliecina </w:t>
      </w:r>
      <w:r w:rsidR="006F2540">
        <w:t xml:space="preserve">šādi projekta īstenošanas laikā sagaidāmie rezultāti: </w:t>
      </w:r>
      <w:r w:rsidRPr="006F2540" w:rsidR="006F2540">
        <w:t xml:space="preserve">jauno produktu un tehnoloģiju skaits, kas ir komercializējami un kuru izstrādei sniegts atbalsts” (i.1.1.1.g); </w:t>
      </w:r>
      <w:r w:rsidR="006F2540">
        <w:t>t</w:t>
      </w:r>
      <w:r w:rsidRPr="005F696A" w:rsidR="006F2540">
        <w:t>ehnoloģiju tiesības</w:t>
      </w:r>
      <w:r w:rsidRPr="00A73FEB" w:rsidR="006F2540">
        <w:t xml:space="preserve"> (</w:t>
      </w:r>
      <w:r w:rsidRPr="005F696A" w:rsidR="006F2540">
        <w:t>PUD 1.1.1.f</w:t>
      </w:r>
      <w:r w:rsidRPr="00A73FEB" w:rsidR="006F2540">
        <w:t>)</w:t>
      </w:r>
      <w:r w:rsidR="006F2540">
        <w:t>;</w:t>
      </w:r>
      <w:r>
        <w:t xml:space="preserve"> </w:t>
      </w:r>
      <w:r w:rsidR="00495C28">
        <w:t>intelektuālā īpašuma licences līgumi</w:t>
      </w:r>
      <w:r w:rsidR="002551AF">
        <w:t>.</w:t>
      </w:r>
    </w:p>
    <w:p w:rsidR="007B42B1" w:rsidP="00EC19AE" w14:paraId="50766FFD" w14:textId="77777777">
      <w:pPr>
        <w:pStyle w:val="Heading4"/>
      </w:pPr>
      <w:r>
        <w:t>Projektu iesniegumu</w:t>
      </w:r>
      <w:r w:rsidR="00266B04">
        <w:t xml:space="preserve"> vērtēšanas </w:t>
      </w:r>
      <w:r w:rsidR="00512B7D">
        <w:t>kritēriji</w:t>
      </w:r>
    </w:p>
    <w:p w:rsidR="00291394" w:rsidP="00160F57" w14:paraId="6AB312C7" w14:textId="77777777">
      <w:pPr>
        <w:pStyle w:val="ListParagraph"/>
      </w:pPr>
      <w:r>
        <w:t xml:space="preserve">Projektu iesniegumu vērtēšanas kritēriju grozījumi </w:t>
      </w:r>
      <w:r w:rsidR="007B42B1">
        <w:t>paredz</w:t>
      </w:r>
      <w:r>
        <w:t>:</w:t>
      </w:r>
    </w:p>
    <w:p w:rsidR="00AC0DAD" w:rsidRPr="00F77DD2" w:rsidP="00160F57" w14:paraId="72E43C46" w14:textId="77777777">
      <w:pPr>
        <w:pStyle w:val="ListParagraph"/>
      </w:pPr>
      <w:r>
        <w:t>9</w:t>
      </w:r>
      <w:r w:rsidRPr="00F77DD2">
        <w:t>. Izslēgt noraidāmo 2.11. un 2.12. kritēriju, jo projekta iesniegumu atlases procesā gūtā pieredze liecina, ka Latvijā reģistrētās biedrības atzinumam par pētījuma nozīmību tautsaimniecības nozares vai komersanta attīstībai ir formāls raksturs un tas nedod iespēju salīdzināt vairāku projektu ietekmi uz konkrētas tautsaimniecības nozares attīstību, lai atbalstu sniegtu projektam ar salīdzinoši augstāku sociālekonomisko ietekmi.</w:t>
      </w:r>
    </w:p>
    <w:p w:rsidR="00512B7D" w:rsidRPr="00CB3476" w:rsidP="00160F57" w14:paraId="38E93D6B" w14:textId="77777777">
      <w:pPr>
        <w:pStyle w:val="ListParagraph"/>
      </w:pPr>
      <w:r w:rsidRPr="00CB3476">
        <w:t>Vienlaikus plānots veikt atbilstošus MK noteikumu Nr. 34</w:t>
      </w:r>
      <w:r w:rsidR="00A4049D">
        <w:t xml:space="preserve"> grozījumus</w:t>
      </w:r>
      <w:r w:rsidRPr="00CB3476">
        <w:t xml:space="preserve"> </w:t>
      </w:r>
      <w:r w:rsidRPr="00A4049D">
        <w:t xml:space="preserve">(skat. šī ziņojuma </w:t>
      </w:r>
      <w:r w:rsidRPr="00A4049D" w:rsidR="00A4049D">
        <w:t xml:space="preserve">3.2.1. sadaļas 4. </w:t>
      </w:r>
      <w:r w:rsidRPr="00A4049D">
        <w:t>punktu)</w:t>
      </w:r>
      <w:r w:rsidR="00C115C6">
        <w:t>.</w:t>
      </w:r>
    </w:p>
    <w:p w:rsidR="00266B04" w:rsidP="00160F57" w14:paraId="66E6129A" w14:textId="77777777">
      <w:pPr>
        <w:pStyle w:val="ListParagraph"/>
      </w:pPr>
      <w:r>
        <w:t>10</w:t>
      </w:r>
      <w:r w:rsidR="00291394">
        <w:t>.</w:t>
      </w:r>
      <w:r w:rsidR="00C2556C">
        <w:t> </w:t>
      </w:r>
      <w:r w:rsidR="00C115C6">
        <w:t>P</w:t>
      </w:r>
      <w:r w:rsidR="00221286">
        <w:t xml:space="preserve">recizēt </w:t>
      </w:r>
      <w:r>
        <w:t>kvalitātes kritērij</w:t>
      </w:r>
      <w:r w:rsidR="00291394">
        <w:t>u svar</w:t>
      </w:r>
      <w:r w:rsidR="00221286">
        <w:t>u</w:t>
      </w:r>
      <w:r w:rsidR="00291394">
        <w:t xml:space="preserve"> un minimāl</w:t>
      </w:r>
      <w:r w:rsidR="00221286">
        <w:t>o</w:t>
      </w:r>
      <w:r w:rsidR="00291394">
        <w:t xml:space="preserve"> nepieciešam</w:t>
      </w:r>
      <w:r w:rsidR="00221286">
        <w:t>o</w:t>
      </w:r>
      <w:r w:rsidR="00291394">
        <w:t xml:space="preserve"> punktu skait</w:t>
      </w:r>
      <w:r w:rsidR="00221286">
        <w:t>u</w:t>
      </w:r>
      <w:r w:rsidR="00FB36F3">
        <w:t xml:space="preserve"> atbilstoši</w:t>
      </w:r>
      <w:r w:rsidR="00221286">
        <w:t xml:space="preserve"> pamatprogrammas </w:t>
      </w:r>
      <w:r w:rsidR="00A26E0A">
        <w:t>“</w:t>
      </w:r>
      <w:r w:rsidR="00221286">
        <w:t>Apvārsnis 2020</w:t>
      </w:r>
      <w:r w:rsidR="00A26E0A">
        <w:t>”</w:t>
      </w:r>
      <w:r w:rsidR="00221286">
        <w:t xml:space="preserve"> projektu iesniegumu vērtēšanas vadlīnij</w:t>
      </w:r>
      <w:r w:rsidR="00FB36F3">
        <w:t>ām</w:t>
      </w:r>
      <w:r>
        <w:rPr>
          <w:rStyle w:val="FootnoteReference"/>
        </w:rPr>
        <w:footnoteReference w:id="16"/>
      </w:r>
      <w:r>
        <w:t xml:space="preserve">: </w:t>
      </w:r>
    </w:p>
    <w:p w:rsidR="00266B04" w:rsidRPr="00176118" w:rsidP="00124CD6" w14:paraId="23648AE5" w14:textId="77777777">
      <w:pPr>
        <w:pStyle w:val="BulletF"/>
      </w:pPr>
      <w:r>
        <w:t xml:space="preserve">pētniecības kvalitāte </w:t>
      </w:r>
      <w:r w:rsidR="004D4A8C">
        <w:t>(izcilība)</w:t>
      </w:r>
      <w:r>
        <w:t xml:space="preserve"> – svars </w:t>
      </w:r>
      <w:r w:rsidR="000322BE">
        <w:t xml:space="preserve">no </w:t>
      </w:r>
      <w:r w:rsidR="00A26E0A">
        <w:t>“</w:t>
      </w:r>
      <w:r w:rsidR="000322BE">
        <w:t>0,5</w:t>
      </w:r>
      <w:r w:rsidR="00A26E0A">
        <w:t>”</w:t>
      </w:r>
      <w:r w:rsidR="000322BE">
        <w:t xml:space="preserve"> uz </w:t>
      </w:r>
      <w:r w:rsidR="00A26E0A">
        <w:t>“</w:t>
      </w:r>
      <w:r>
        <w:t>1</w:t>
      </w:r>
      <w:r w:rsidR="00A26E0A">
        <w:t>”</w:t>
      </w:r>
      <w:r w:rsidRPr="00176118">
        <w:t xml:space="preserve">; </w:t>
      </w:r>
    </w:p>
    <w:p w:rsidR="00266B04" w:rsidRPr="00C718DA" w:rsidP="00124CD6" w14:paraId="63312AB6" w14:textId="77777777">
      <w:pPr>
        <w:pStyle w:val="BulletF"/>
      </w:pPr>
      <w:r>
        <w:t xml:space="preserve">sociālekonomiskā ietekme – svars </w:t>
      </w:r>
      <w:r w:rsidR="000322BE">
        <w:t xml:space="preserve">no </w:t>
      </w:r>
      <w:r w:rsidR="00A26E0A">
        <w:t>“</w:t>
      </w:r>
      <w:r w:rsidR="000322BE">
        <w:t>0,3</w:t>
      </w:r>
      <w:r w:rsidR="00A26E0A">
        <w:t>”</w:t>
      </w:r>
      <w:r w:rsidR="000322BE">
        <w:t xml:space="preserve"> uz </w:t>
      </w:r>
      <w:r w:rsidR="00A26E0A">
        <w:t>“</w:t>
      </w:r>
      <w:r>
        <w:t>1,5</w:t>
      </w:r>
      <w:r w:rsidR="00A26E0A">
        <w:t>”</w:t>
      </w:r>
      <w:r w:rsidRPr="00C718DA">
        <w:rPr>
          <w:rFonts w:eastAsiaTheme="minorEastAsia" w:cstheme="minorBidi"/>
          <w:szCs w:val="21"/>
          <w:lang w:eastAsia="lv-LV" w:bidi="ar-SA"/>
        </w:rPr>
        <w:t>;</w:t>
      </w:r>
    </w:p>
    <w:p w:rsidR="00266B04" w:rsidP="00124CD6" w14:paraId="704078CF" w14:textId="77777777">
      <w:pPr>
        <w:pStyle w:val="BulletF"/>
      </w:pPr>
      <w:r>
        <w:t xml:space="preserve">īstenošanas kvalitāte un efektivitāte – svars </w:t>
      </w:r>
      <w:r w:rsidR="000322BE">
        <w:t xml:space="preserve">no </w:t>
      </w:r>
      <w:r w:rsidR="00A26E0A">
        <w:t>“</w:t>
      </w:r>
      <w:r w:rsidR="000322BE">
        <w:t>0,2</w:t>
      </w:r>
      <w:r w:rsidR="00A26E0A">
        <w:t>”</w:t>
      </w:r>
      <w:r w:rsidR="000322BE">
        <w:t xml:space="preserve"> uz </w:t>
      </w:r>
      <w:r w:rsidR="00A26E0A">
        <w:t>“</w:t>
      </w:r>
      <w:r>
        <w:t>1</w:t>
      </w:r>
      <w:r w:rsidR="00A26E0A">
        <w:t>”</w:t>
      </w:r>
      <w:r>
        <w:t>;</w:t>
      </w:r>
    </w:p>
    <w:p w:rsidR="00221286" w:rsidP="00124CD6" w14:paraId="74677E3A" w14:textId="77777777">
      <w:pPr>
        <w:pStyle w:val="BulletF"/>
      </w:pPr>
      <w:r>
        <w:t xml:space="preserve">minimālais </w:t>
      </w:r>
      <w:r>
        <w:t xml:space="preserve">kopējais </w:t>
      </w:r>
      <w:r>
        <w:t xml:space="preserve">punktu skaits </w:t>
      </w:r>
      <w:r>
        <w:t>kvalitātes kritēriju (izcilība, sociālekonomiskā ietekme un īstenošanas kvalitāte un efektivitāte) vērtējum</w:t>
      </w:r>
      <w:r>
        <w:t>ā</w:t>
      </w:r>
      <w:r>
        <w:t xml:space="preserve"> – 10 punkti;</w:t>
      </w:r>
    </w:p>
    <w:p w:rsidR="00221286" w:rsidP="00124CD6" w14:paraId="41627FF7" w14:textId="77777777">
      <w:pPr>
        <w:pStyle w:val="BulletF"/>
      </w:pPr>
      <w:r>
        <w:t xml:space="preserve">katra kvalitātes kritērija </w:t>
      </w:r>
      <w:r w:rsidR="009536E6">
        <w:t>(izcilība, ietekme un īstenošanas kvalitāte un efektivitāte)</w:t>
      </w:r>
      <w:r>
        <w:t xml:space="preserve"> minimālais nepieciešamais punktu skaits</w:t>
      </w:r>
      <w:r w:rsidR="009536E6">
        <w:t xml:space="preserve"> – trīs punkti;</w:t>
      </w:r>
    </w:p>
    <w:p w:rsidR="00266B04" w:rsidP="00124CD6" w14:paraId="7AD3FB2C" w14:textId="77777777">
      <w:pPr>
        <w:pStyle w:val="BulletF"/>
      </w:pPr>
      <w:r>
        <w:t>kvalitātes kritērij</w:t>
      </w:r>
      <w:r w:rsidR="00FB36F3">
        <w:t>a</w:t>
      </w:r>
      <w:r>
        <w:t xml:space="preserve"> par horizontālo prioritāti </w:t>
      </w:r>
      <w:r w:rsidR="00A26E0A">
        <w:t>“</w:t>
      </w:r>
      <w:r>
        <w:t>zaļais iepirkums</w:t>
      </w:r>
      <w:r w:rsidR="00A26E0A">
        <w:t>”</w:t>
      </w:r>
      <w:r>
        <w:t xml:space="preserve"> – svars </w:t>
      </w:r>
      <w:r w:rsidR="000322BE">
        <w:t xml:space="preserve">no </w:t>
      </w:r>
      <w:r w:rsidR="00A26E0A">
        <w:t>“</w:t>
      </w:r>
      <w:r w:rsidR="000322BE">
        <w:t>1</w:t>
      </w:r>
      <w:r w:rsidR="00A26E0A">
        <w:t>”</w:t>
      </w:r>
      <w:r w:rsidR="000322BE">
        <w:t xml:space="preserve"> uz </w:t>
      </w:r>
      <w:r w:rsidR="00A26E0A">
        <w:t>“</w:t>
      </w:r>
      <w:r>
        <w:t>0,5</w:t>
      </w:r>
      <w:r w:rsidR="00A26E0A">
        <w:t>”</w:t>
      </w:r>
      <w:r>
        <w:t>. Projekta iesnieguma a</w:t>
      </w:r>
      <w:r>
        <w:rPr>
          <w:lang w:eastAsia="lv-LV"/>
        </w:rPr>
        <w:t>tbilstību kvalitātes kritērijam vērtē projektu iesniegumu Vērtēšanas komisija</w:t>
      </w:r>
      <w:r w:rsidR="00C115C6">
        <w:t>.</w:t>
      </w:r>
    </w:p>
    <w:p w:rsidR="00AC0DAD" w:rsidRPr="00F77DD2" w:rsidP="00160F57" w14:paraId="3157BC06" w14:textId="67AD0466">
      <w:pPr>
        <w:pStyle w:val="ListParagraph"/>
      </w:pPr>
      <w:r w:rsidRPr="00B70691">
        <w:t>1</w:t>
      </w:r>
      <w:r w:rsidR="00E34E19">
        <w:t>1</w:t>
      </w:r>
      <w:r w:rsidRPr="00F77DD2">
        <w:t xml:space="preserve">. Papildināt kritērijus ar </w:t>
      </w:r>
      <w:r w:rsidR="00920AD7">
        <w:t>kvalitātes</w:t>
      </w:r>
      <w:r w:rsidRPr="00F77DD2">
        <w:t xml:space="preserve"> kritēriju “Ieguldījums nozares politikas mērķu sasniegšanā”, paredzot, ka projekta iesniegumam piešķir papildu punktus, ja tas sniedz </w:t>
      </w:r>
      <w:r w:rsidRPr="00F77DD2" w:rsidR="00E34E19">
        <w:t xml:space="preserve">būtisku </w:t>
      </w:r>
      <w:r w:rsidRPr="00F77DD2">
        <w:t>ieguldījumu:</w:t>
      </w:r>
    </w:p>
    <w:p w:rsidR="00AC0DAD" w:rsidRPr="00F77DD2" w:rsidP="00124CD6" w14:paraId="0DD50188" w14:textId="77777777">
      <w:pPr>
        <w:pStyle w:val="BulletF"/>
      </w:pPr>
      <w:r w:rsidRPr="00F77DD2">
        <w:t xml:space="preserve">Eiropas Komisijas kopīgā iznākuma rādītāja </w:t>
      </w:r>
      <w:r w:rsidRPr="00F77DD2" w:rsidR="00E34E19">
        <w:rPr>
          <w:i/>
        </w:rPr>
        <w:t>jaunu pētnieku skaits atbalstītajās vienībās (</w:t>
      </w:r>
      <w:r w:rsidRPr="00F77DD2">
        <w:rPr>
          <w:i/>
        </w:rPr>
        <w:t>i.1.1.1.bk (CO24)</w:t>
      </w:r>
      <w:r w:rsidRPr="00F77DD2" w:rsidR="00E34E19">
        <w:rPr>
          <w:i/>
        </w:rPr>
        <w:t>)</w:t>
      </w:r>
      <w:r w:rsidRPr="00F77DD2">
        <w:t xml:space="preserve"> izpildē, nodrošinot </w:t>
      </w:r>
      <w:r w:rsidRPr="00F77DD2">
        <w:t>P&amp;A personāla skaita palielināšan</w:t>
      </w:r>
      <w:r w:rsidRPr="00F77DD2">
        <w:t>u un jauno darba vietu saglabāšanu</w:t>
      </w:r>
      <w:r w:rsidRPr="00F77DD2">
        <w:t>;</w:t>
      </w:r>
    </w:p>
    <w:p w:rsidR="002315E0" w:rsidRPr="00B70691" w:rsidP="00124CD6" w14:paraId="3FA87F98" w14:textId="65098F08">
      <w:pPr>
        <w:pStyle w:val="BulletF"/>
        <w:rPr>
          <w:b/>
        </w:rPr>
      </w:pPr>
      <w:r w:rsidRPr="00F77DD2">
        <w:t xml:space="preserve">iznākuma rādītāja </w:t>
      </w:r>
      <w:r w:rsidRPr="00F77DD2">
        <w:rPr>
          <w:i/>
        </w:rPr>
        <w:t xml:space="preserve">privātās investīcijas, kas papildina valsts atbalstu inovācijām vai pētniecības un izstrādes projektiem </w:t>
      </w:r>
      <w:r w:rsidRPr="00F77DD2" w:rsidR="00E34E19">
        <w:rPr>
          <w:i/>
        </w:rPr>
        <w:t>(</w:t>
      </w:r>
      <w:r w:rsidRPr="00F77DD2">
        <w:rPr>
          <w:i/>
        </w:rPr>
        <w:t>i.1.1.1.f</w:t>
      </w:r>
      <w:r w:rsidRPr="00F77DD2" w:rsidR="00E34E19">
        <w:rPr>
          <w:i/>
        </w:rPr>
        <w:t>)</w:t>
      </w:r>
      <w:r w:rsidRPr="00F77DD2">
        <w:t xml:space="preserve"> izpildē</w:t>
      </w:r>
      <w:r w:rsidRPr="00B70691">
        <w:rPr>
          <w:b/>
        </w:rPr>
        <w:t xml:space="preserve">. </w:t>
      </w:r>
    </w:p>
    <w:p w:rsidR="00870192" w:rsidP="00160F57" w14:paraId="3E33C51B" w14:textId="2AF64ED0">
      <w:pPr>
        <w:pStyle w:val="ListParagraph"/>
      </w:pPr>
      <w:r>
        <w:t>1</w:t>
      </w:r>
      <w:r w:rsidR="00E34E19">
        <w:t>2</w:t>
      </w:r>
      <w:r w:rsidR="00C115C6">
        <w:t>. </w:t>
      </w:r>
      <w:r w:rsidRPr="00C16806" w:rsidR="00C115C6">
        <w:t>N</w:t>
      </w:r>
      <w:r w:rsidRPr="00C16806">
        <w:t>o</w:t>
      </w:r>
      <w:r w:rsidRPr="00BD7D36" w:rsidR="00A94982">
        <w:t>teikt</w:t>
      </w:r>
      <w:r w:rsidRPr="00BD7D36">
        <w:t xml:space="preserve">, ka projektu iesniegumu Vērtēšanas komisija vērtē projektu iesniegumu atbilstību </w:t>
      </w:r>
      <w:r w:rsidRPr="00BD7D36" w:rsidR="002315E0">
        <w:t xml:space="preserve">šādiem kvalitātes </w:t>
      </w:r>
      <w:r w:rsidRPr="00F77DD2" w:rsidR="002315E0">
        <w:t xml:space="preserve">kritērijiem: </w:t>
      </w:r>
      <w:r w:rsidRPr="00F77DD2" w:rsidR="006E151F">
        <w:t>kritērijs “Ieguldījums nozares politikas mērķu sasniegšanā” un kvalitātes kritērijs</w:t>
      </w:r>
      <w:r w:rsidRPr="00C16806" w:rsidR="006E151F">
        <w:t xml:space="preserve"> </w:t>
      </w:r>
      <w:r w:rsidRPr="00C16806">
        <w:t>par horizontālo prioritāti “zaļais iepirkums”</w:t>
      </w:r>
      <w:r w:rsidRPr="00BD7D36" w:rsidR="00C115C6">
        <w:t>.</w:t>
      </w:r>
    </w:p>
    <w:p w:rsidR="00266B04" w:rsidRPr="00212730" w:rsidP="003F7D1B" w14:paraId="631D834F" w14:textId="77777777">
      <w:pPr>
        <w:pStyle w:val="Heading3"/>
      </w:pPr>
      <w:bookmarkStart w:id="121" w:name="_Toc499019525"/>
      <w:bookmarkStart w:id="122" w:name="_Toc505086381"/>
      <w:bookmarkStart w:id="123" w:name="_Toc256000019"/>
      <w:bookmarkStart w:id="124" w:name="_Toc256000046"/>
      <w:r>
        <w:t>3</w:t>
      </w:r>
      <w:r w:rsidRPr="002E12C1">
        <w:t xml:space="preserve">.1.2. Pēcdoktorantūras pētniecības </w:t>
      </w:r>
      <w:bookmarkEnd w:id="121"/>
      <w:r w:rsidR="001E63D3">
        <w:t>programma</w:t>
      </w:r>
      <w:bookmarkEnd w:id="124"/>
      <w:bookmarkEnd w:id="123"/>
      <w:bookmarkEnd w:id="122"/>
    </w:p>
    <w:p w:rsidR="000A7BED" w:rsidP="00266B04" w14:paraId="7E435A1E" w14:textId="77777777">
      <w:r>
        <w:rPr>
          <w:lang w:eastAsia="lv-LV"/>
        </w:rPr>
        <w:t xml:space="preserve">Lai sekmētu SAM 1.1.1. kopīgo un specifisko iznākuma rādītāju sasniegšanu, plānots </w:t>
      </w:r>
      <w:r w:rsidR="009D192B">
        <w:rPr>
          <w:lang w:eastAsia="lv-LV"/>
        </w:rPr>
        <w:t>veikt grozījumus</w:t>
      </w:r>
      <w:r>
        <w:t xml:space="preserve"> </w:t>
      </w:r>
      <w:r w:rsidR="002A414E">
        <w:t xml:space="preserve">Pēcdoktorantūras pētījumu programmas </w:t>
      </w:r>
      <w:r w:rsidR="003F7D1B">
        <w:t xml:space="preserve"> </w:t>
      </w:r>
      <w:r>
        <w:t xml:space="preserve">pētniecības </w:t>
      </w:r>
      <w:r w:rsidR="009D192B">
        <w:t>pieteikumu</w:t>
      </w:r>
      <w:r>
        <w:t xml:space="preserve"> atlases nolikum</w:t>
      </w:r>
      <w:r w:rsidR="009D192B">
        <w:t>ā</w:t>
      </w:r>
      <w:r w:rsidR="00465130">
        <w:t xml:space="preserve"> un nolikuma pielikumos, tai skaitā</w:t>
      </w:r>
      <w:r>
        <w:t>:</w:t>
      </w:r>
    </w:p>
    <w:p w:rsidR="000A7BED" w:rsidP="00124CD6" w14:paraId="78E52ABB" w14:textId="77777777">
      <w:pPr>
        <w:pStyle w:val="BulletF"/>
      </w:pPr>
      <w:r>
        <w:t>p</w:t>
      </w:r>
      <w:r w:rsidRPr="00465130" w:rsidR="00B00BEC">
        <w:t xml:space="preserve">ētniecības pieteikumu </w:t>
      </w:r>
      <w:r w:rsidRPr="00465130" w:rsidR="00465130">
        <w:t xml:space="preserve">zinātniskās daļas </w:t>
      </w:r>
      <w:r w:rsidRPr="00465130" w:rsidR="003F7D1B">
        <w:t xml:space="preserve">starptautiskās </w:t>
      </w:r>
      <w:r w:rsidRPr="00465130" w:rsidR="00465130">
        <w:t>iz</w:t>
      </w:r>
      <w:r w:rsidRPr="00465130" w:rsidR="00B00BEC">
        <w:t>vērtēšanas vadlīnij</w:t>
      </w:r>
      <w:r w:rsidRPr="00465130" w:rsidR="00465130">
        <w:t>a</w:t>
      </w:r>
      <w:r w:rsidRPr="00465130" w:rsidR="003F7D1B">
        <w:t>s</w:t>
      </w:r>
      <w:r w:rsidRPr="00465130" w:rsidR="00465130">
        <w:t xml:space="preserve"> un </w:t>
      </w:r>
      <w:r w:rsidRPr="00465130" w:rsidR="0023277F">
        <w:t>kritērij</w:t>
      </w:r>
      <w:r w:rsidRPr="00465130" w:rsidR="00465130">
        <w:t>i</w:t>
      </w:r>
      <w:r w:rsidR="00465130">
        <w:t xml:space="preserve">; </w:t>
      </w:r>
    </w:p>
    <w:p w:rsidR="000A7BED" w:rsidP="00124CD6" w14:paraId="0AA52F43" w14:textId="77777777">
      <w:pPr>
        <w:pStyle w:val="BulletF"/>
      </w:pPr>
      <w:r>
        <w:t>p</w:t>
      </w:r>
      <w:r w:rsidRPr="000A7BED">
        <w:t>ētniecības pieteikuma administratīvās un atbilstības vērtēšanas vadlīnijas un metodika</w:t>
      </w:r>
      <w:r>
        <w:t>;</w:t>
      </w:r>
    </w:p>
    <w:p w:rsidR="000A7BED" w:rsidP="00124CD6" w14:paraId="7E12E365" w14:textId="77777777">
      <w:pPr>
        <w:pStyle w:val="BulletF"/>
      </w:pPr>
      <w:r>
        <w:t>p</w:t>
      </w:r>
      <w:r w:rsidRPr="000A7BED">
        <w:t>ētniecības pieteikuma administratīvās un atbilstības vērtēšanas kritēriji.</w:t>
      </w:r>
    </w:p>
    <w:p w:rsidR="00E10DFC" w:rsidP="0023277F" w14:paraId="35AA9387" w14:textId="77777777">
      <w:r>
        <w:t>Plānotie grozījumi</w:t>
      </w:r>
      <w:r>
        <w:rPr>
          <w:rStyle w:val="FootnoteReference"/>
        </w:rPr>
        <w:footnoteReference w:id="17"/>
      </w:r>
      <w:r>
        <w:t xml:space="preserve"> paredz:</w:t>
      </w:r>
    </w:p>
    <w:p w:rsidR="00BD7D96" w:rsidRPr="00B70691" w:rsidP="00160F57" w14:paraId="6BEA6301" w14:textId="77777777">
      <w:pPr>
        <w:pStyle w:val="ListParagraph"/>
      </w:pPr>
      <w:r>
        <w:t>1.</w:t>
      </w:r>
      <w:r w:rsidR="00E10DFC">
        <w:t xml:space="preserve"> precizēt </w:t>
      </w:r>
      <w:r w:rsidRPr="007838D5" w:rsidR="00676E4C">
        <w:t xml:space="preserve">pētniecības </w:t>
      </w:r>
      <w:r w:rsidRPr="00B70691" w:rsidR="00676E4C">
        <w:t>pieteikuma kvalitātes vērtēšanas vadlīnijas</w:t>
      </w:r>
      <w:r w:rsidRPr="00B70691">
        <w:t>, tai skaitā:</w:t>
      </w:r>
      <w:r w:rsidRPr="00B70691" w:rsidR="00042FEC">
        <w:t xml:space="preserve"> </w:t>
      </w:r>
    </w:p>
    <w:p w:rsidR="00E10DFC" w:rsidRPr="00307B6B" w:rsidP="00160F57" w14:paraId="19E509B6" w14:textId="1E149A95">
      <w:pPr>
        <w:pStyle w:val="ListParagraph"/>
      </w:pPr>
      <w:r w:rsidRPr="00B70691">
        <w:t xml:space="preserve">1.1. aktualizēt </w:t>
      </w:r>
      <w:r w:rsidRPr="00B70691" w:rsidR="00676E4C">
        <w:t xml:space="preserve">kvalitātes </w:t>
      </w:r>
      <w:r w:rsidRPr="00B70691">
        <w:t xml:space="preserve">kritērija </w:t>
      </w:r>
      <w:r w:rsidRPr="00B70691" w:rsidR="00A26E0A">
        <w:t>“</w:t>
      </w:r>
      <w:r w:rsidRPr="00B70691" w:rsidR="006E151F">
        <w:t>I</w:t>
      </w:r>
      <w:r w:rsidRPr="00B70691">
        <w:t>etekme</w:t>
      </w:r>
      <w:r w:rsidRPr="00B70691" w:rsidR="00A26E0A">
        <w:t>”</w:t>
      </w:r>
      <w:r w:rsidRPr="00B70691">
        <w:t xml:space="preserve"> piemērošanas</w:t>
      </w:r>
      <w:r>
        <w:t xml:space="preserve"> metodiku, </w:t>
      </w:r>
      <w:r w:rsidR="00042FEC">
        <w:t xml:space="preserve">lai </w:t>
      </w:r>
      <w:r w:rsidRPr="00A528E8">
        <w:t>nodrošin</w:t>
      </w:r>
      <w:r w:rsidR="00042FEC">
        <w:t>ātu</w:t>
      </w:r>
      <w:r w:rsidRPr="00A528E8">
        <w:t xml:space="preserve"> </w:t>
      </w:r>
      <w:r>
        <w:t>tādu</w:t>
      </w:r>
      <w:r w:rsidR="009D192B">
        <w:t xml:space="preserve"> p</w:t>
      </w:r>
      <w:r w:rsidRPr="00A528E8">
        <w:t xml:space="preserve">ētniecības </w:t>
      </w:r>
      <w:r w:rsidR="009D192B">
        <w:t>pieteikumu</w:t>
      </w:r>
      <w:r w:rsidRPr="00A528E8">
        <w:t xml:space="preserve"> atlasi</w:t>
      </w:r>
      <w:r w:rsidR="00062F5C">
        <w:t>,</w:t>
      </w:r>
      <w:r w:rsidR="00A7536A">
        <w:t xml:space="preserve"> </w:t>
      </w:r>
      <w:r>
        <w:t xml:space="preserve">kam ir </w:t>
      </w:r>
      <w:r w:rsidRPr="00A528E8">
        <w:t>vislielākais potenciāls</w:t>
      </w:r>
      <w:r>
        <w:t xml:space="preserve"> </w:t>
      </w:r>
      <w:r w:rsidRPr="008E3F65">
        <w:rPr>
          <w:lang w:eastAsia="en-GB"/>
        </w:rPr>
        <w:t>RIS3 mērķ</w:t>
      </w:r>
      <w:r w:rsidR="007C58BB">
        <w:rPr>
          <w:lang w:eastAsia="en-GB"/>
        </w:rPr>
        <w:t>u</w:t>
      </w:r>
      <w:r w:rsidRPr="008E3F65">
        <w:rPr>
          <w:lang w:eastAsia="en-GB"/>
        </w:rPr>
        <w:t xml:space="preserve"> </w:t>
      </w:r>
      <w:r w:rsidR="007C58BB">
        <w:rPr>
          <w:lang w:eastAsia="en-GB"/>
        </w:rPr>
        <w:t>sasniegšanā un mikro līmeņa rādītāju</w:t>
      </w:r>
      <w:r>
        <w:t>.</w:t>
      </w:r>
    </w:p>
    <w:p w:rsidR="00E10DFC" w:rsidP="00160F57" w14:paraId="02B257C6" w14:textId="77777777">
      <w:pPr>
        <w:pStyle w:val="ListParagraph"/>
      </w:pPr>
      <w:r>
        <w:t>Projekta ieguldījumu (punktos) RIS3 mērķu un mikro</w:t>
      </w:r>
      <w:r w:rsidR="007F075F">
        <w:t xml:space="preserve"> </w:t>
      </w:r>
      <w:r>
        <w:t>līmeņa rādītāju izpildē nosaka, ņemot vērā šādus aspektus:</w:t>
      </w:r>
    </w:p>
    <w:p w:rsidR="00E10DFC" w:rsidP="00160F57" w14:paraId="0EDDF371" w14:textId="5FBB110B">
      <w:pPr>
        <w:pStyle w:val="ListParagraph"/>
      </w:pPr>
      <w:r>
        <w:t>1.</w:t>
      </w:r>
      <w:r w:rsidR="009D192B">
        <w:t>1.</w:t>
      </w:r>
      <w:r>
        <w:t>1.  projekta ietekme uz kopīgo SAM 1.1.1. iznākuma rādītāju izpildi, tai skaitā</w:t>
      </w:r>
      <w:r w:rsidRPr="001346F7" w:rsidR="001346F7">
        <w:t xml:space="preserve"> </w:t>
      </w:r>
      <w:r w:rsidR="001346F7">
        <w:t>p</w:t>
      </w:r>
      <w:r w:rsidRPr="00CC6352" w:rsidR="001346F7">
        <w:t>ētniecības pieteikuma ietvaros paredzēts</w:t>
      </w:r>
      <w:r>
        <w:t>:</w:t>
      </w:r>
    </w:p>
    <w:p w:rsidR="00E10DFC" w:rsidP="00124CD6" w14:paraId="30008FB4" w14:textId="308FB77A">
      <w:pPr>
        <w:pStyle w:val="BulletF"/>
      </w:pPr>
      <w:r>
        <w:t xml:space="preserve">piesaistīt </w:t>
      </w:r>
      <w:r>
        <w:t>p</w:t>
      </w:r>
      <w:r w:rsidRPr="005F696A">
        <w:t>rivātās investīcijas, kas papildina valsts atbalstu inovācijām vai pētniecības un izstrādes projektiem</w:t>
      </w:r>
      <w:r w:rsidRPr="00A73FEB">
        <w:t xml:space="preserve"> (</w:t>
      </w:r>
      <w:r w:rsidRPr="005F696A">
        <w:t>i.1.1.1.f</w:t>
      </w:r>
      <w:r w:rsidRPr="00A73FEB">
        <w:t>)</w:t>
      </w:r>
      <w:r>
        <w:t xml:space="preserve"> – </w:t>
      </w:r>
      <w:r w:rsidR="00AD2295">
        <w:t xml:space="preserve">papildu </w:t>
      </w:r>
      <w:r>
        <w:t>viens punkts</w:t>
      </w:r>
      <w:r>
        <w:rPr>
          <w:rStyle w:val="FootnoteReference"/>
        </w:rPr>
        <w:footnoteReference w:id="18"/>
      </w:r>
      <w:r w:rsidR="007C58BB">
        <w:t>;</w:t>
      </w:r>
      <w:r w:rsidR="00AD2295">
        <w:t xml:space="preserve"> </w:t>
      </w:r>
    </w:p>
    <w:p w:rsidR="00CC6352" w:rsidP="00CC6352" w14:paraId="4049055A" w14:textId="3302390E">
      <w:pPr>
        <w:pStyle w:val="BulletF"/>
      </w:pPr>
      <w:r w:rsidRPr="00CC6352">
        <w:t>izstrādāt jaunu produktu vai tehnoloģiju, kas sniedz ieguldījumu SAM iznākuma rādītāja "jaunu produktu un tehnoloģiju skaits, kas ir komercializējami un kuru izstrādei sniegts atbalsts pē</w:t>
      </w:r>
      <w:r>
        <w:t>tn</w:t>
      </w:r>
      <w:r w:rsidRPr="00CC6352">
        <w:t>iecības pieteikuma ietvaros"</w:t>
      </w:r>
      <w:r>
        <w:t xml:space="preserve"> – </w:t>
      </w:r>
      <w:r w:rsidR="00AD2295">
        <w:t xml:space="preserve">papildu </w:t>
      </w:r>
      <w:r>
        <w:t>viens punkts</w:t>
      </w:r>
      <w:r w:rsidRPr="00D34572" w:rsidR="001346F7">
        <w:rPr>
          <w:vertAlign w:val="superscript"/>
        </w:rPr>
        <w:t>15</w:t>
      </w:r>
      <w:r>
        <w:t>;</w:t>
      </w:r>
    </w:p>
    <w:p w:rsidR="00CC6352" w:rsidP="00CC6352" w14:paraId="7CB1C15B" w14:textId="73DC9703">
      <w:pPr>
        <w:pStyle w:val="BulletF"/>
      </w:pPr>
      <w:r>
        <w:t xml:space="preserve">publicēt </w:t>
      </w:r>
      <w:r w:rsidRPr="00CC6352">
        <w:t xml:space="preserve"> zinā</w:t>
      </w:r>
      <w:r>
        <w:t>tn</w:t>
      </w:r>
      <w:r w:rsidRPr="00CC6352">
        <w:t>isko rakstu</w:t>
      </w:r>
      <w:r>
        <w:t xml:space="preserve"> </w:t>
      </w:r>
      <w:r w:rsidRPr="00D34572">
        <w:rPr>
          <w:i/>
        </w:rPr>
        <w:t>Web of Science</w:t>
      </w:r>
      <w:r w:rsidRPr="00CC6352">
        <w:t xml:space="preserve"> vai </w:t>
      </w:r>
      <w:r w:rsidRPr="00D34572">
        <w:rPr>
          <w:i/>
        </w:rPr>
        <w:t>SCOPUS</w:t>
      </w:r>
      <w:r w:rsidRPr="00CC6352">
        <w:t xml:space="preserve"> datubāzē iekļautos žurnālos vai konferenču rakstu krājumos vai žurnālos vai konferenču rakstu krājumos, kuru citēšanas indekss sasniedz vismaz 50 procentus no nozares vidējā citēšanas indeksa</w:t>
      </w:r>
      <w:r w:rsidR="00AD2295">
        <w:t xml:space="preserve"> – papildu viens punkts</w:t>
      </w:r>
      <w:r w:rsidRPr="00CD0C4F">
        <w:rPr>
          <w:vertAlign w:val="superscript"/>
        </w:rPr>
        <w:t>15</w:t>
      </w:r>
      <w:r>
        <w:t>;</w:t>
      </w:r>
    </w:p>
    <w:p w:rsidR="00E10DFC" w:rsidP="00160F57" w14:paraId="2095B526" w14:textId="211C86C0">
      <w:pPr>
        <w:pStyle w:val="ListParagraph"/>
      </w:pPr>
      <w:r>
        <w:t>1.</w:t>
      </w:r>
      <w:r w:rsidR="009D192B">
        <w:t>1.</w:t>
      </w:r>
      <w:r w:rsidRPr="00271B95">
        <w:t>2. projekta rezultātu ietekm</w:t>
      </w:r>
      <w:r>
        <w:t>e</w:t>
      </w:r>
      <w:r w:rsidRPr="00271B95">
        <w:t xml:space="preserve"> uz Latvijas inovācijas </w:t>
      </w:r>
      <w:r>
        <w:t>kapacitātes</w:t>
      </w:r>
      <w:r w:rsidRPr="00271B95">
        <w:t xml:space="preserve"> stiprināšanu</w:t>
      </w:r>
      <w:r w:rsidR="00F51CB4">
        <w:t xml:space="preserve">, ko sekmē iznākuma rādītājs </w:t>
      </w:r>
      <w:r w:rsidRPr="005E1A61" w:rsidR="00F51CB4">
        <w:rPr>
          <w:i/>
        </w:rPr>
        <w:t>jaunu produktu un tehnoloģiju skaits, kas ir komercializējamas</w:t>
      </w:r>
      <w:r w:rsidRPr="00F51CB4" w:rsidR="00F51CB4">
        <w:t xml:space="preserve"> </w:t>
      </w:r>
      <w:r w:rsidRPr="00F77DD2" w:rsidR="00F51CB4">
        <w:t>(i.1.1.1.g)</w:t>
      </w:r>
      <w:r w:rsidR="005E1A61">
        <w:t xml:space="preserve">. </w:t>
      </w:r>
      <w:r w:rsidRPr="00271B95" w:rsidR="00CC6352">
        <w:t xml:space="preserve"> </w:t>
      </w:r>
      <w:r w:rsidRPr="00271B95" w:rsidR="005E1A61">
        <w:t xml:space="preserve">Latvijas inovācijas </w:t>
      </w:r>
      <w:r w:rsidR="005E1A61">
        <w:t>kapacitātes</w:t>
      </w:r>
      <w:r w:rsidRPr="00271B95" w:rsidR="005E1A61">
        <w:t xml:space="preserve"> </w:t>
      </w:r>
      <w:r w:rsidR="005E1A61">
        <w:t xml:space="preserve">palielināšanos raksturo: </w:t>
      </w:r>
      <w:r w:rsidRPr="00D2348A">
        <w:t>jaun</w:t>
      </w:r>
      <w:r>
        <w:t>u</w:t>
      </w:r>
      <w:r w:rsidRPr="00D2348A">
        <w:t xml:space="preserve"> tirgus iespēj</w:t>
      </w:r>
      <w:r>
        <w:t>u radīšan</w:t>
      </w:r>
      <w:r w:rsidR="005E1A61">
        <w:t>a</w:t>
      </w:r>
      <w:r w:rsidRPr="00D2348A">
        <w:t>, uzņēmumu konkurētspēj</w:t>
      </w:r>
      <w:r>
        <w:t>as</w:t>
      </w:r>
      <w:r w:rsidRPr="00D2348A">
        <w:t xml:space="preserve"> un izaugsm</w:t>
      </w:r>
      <w:r>
        <w:t>es veicināšan</w:t>
      </w:r>
      <w:r w:rsidR="005E1A61">
        <w:t>ā</w:t>
      </w:r>
      <w:r w:rsidRPr="00D2348A">
        <w:t xml:space="preserve">, </w:t>
      </w:r>
      <w:r>
        <w:t xml:space="preserve">ar </w:t>
      </w:r>
      <w:r w:rsidRPr="00D2348A">
        <w:t>klimata pārmaiņ</w:t>
      </w:r>
      <w:r>
        <w:t>u, vidi</w:t>
      </w:r>
      <w:r w:rsidRPr="00D2348A">
        <w:t xml:space="preserve"> </w:t>
      </w:r>
      <w:r>
        <w:t xml:space="preserve">vai citu ar sabiedrības vajadzību nodrošināšanu </w:t>
      </w:r>
      <w:r w:rsidRPr="00D2348A">
        <w:t>saistītu</w:t>
      </w:r>
      <w:r>
        <w:t xml:space="preserve"> problēmjautājumu risināšan</w:t>
      </w:r>
      <w:r w:rsidR="005E1A61">
        <w:t>a</w:t>
      </w:r>
      <w:r>
        <w:t>u;</w:t>
      </w:r>
      <w:r w:rsidRPr="00271B95">
        <w:t xml:space="preserve"> </w:t>
      </w:r>
    </w:p>
    <w:p w:rsidR="00BD7D96" w:rsidP="00160F57" w14:paraId="2A533498" w14:textId="77777777">
      <w:pPr>
        <w:pStyle w:val="ListParagraph"/>
      </w:pPr>
      <w:r>
        <w:t>1.</w:t>
      </w:r>
      <w:r w:rsidR="009D192B">
        <w:t>1.</w:t>
      </w:r>
      <w:r w:rsidR="00E10DFC">
        <w:t>3. </w:t>
      </w:r>
      <w:r w:rsidR="00B01CBA">
        <w:t xml:space="preserve">projekta ietvaros iegūto </w:t>
      </w:r>
      <w:r w:rsidR="00E10DFC">
        <w:t>zināšanu un intelektuālā īpašuma tiesību</w:t>
      </w:r>
      <w:r w:rsidR="00B01CBA">
        <w:t xml:space="preserve"> </w:t>
      </w:r>
      <w:r w:rsidR="00E10DFC">
        <w:t>pārvaldība</w:t>
      </w:r>
      <w:r w:rsidR="00B01CBA">
        <w:t>s aspekti</w:t>
      </w:r>
      <w:r w:rsidR="003E657A">
        <w:t>;</w:t>
      </w:r>
    </w:p>
    <w:p w:rsidR="00042FEC" w:rsidP="00160F57" w14:paraId="55157120" w14:textId="77777777">
      <w:pPr>
        <w:pStyle w:val="ListParagraph"/>
      </w:pPr>
      <w:r>
        <w:t>1.2. papildināt ar kritēriju par plānoto darbību atbilstību vienai no pētniecības kategorijām: fundamentālie pētījumi, rūpnieciskie pētījumi;</w:t>
      </w:r>
      <w:r w:rsidR="00E10DFC">
        <w:t xml:space="preserve">  </w:t>
      </w:r>
    </w:p>
    <w:p w:rsidR="00E47A48" w:rsidRPr="007E150A" w:rsidP="00160F57" w14:paraId="32A1C486" w14:textId="4FAF7384">
      <w:pPr>
        <w:pStyle w:val="ListParagraph"/>
      </w:pPr>
      <w:r>
        <w:t>2</w:t>
      </w:r>
      <w:r w:rsidR="00BD7D96">
        <w:t>. </w:t>
      </w:r>
      <w:r w:rsidRPr="001C5B90">
        <w:t xml:space="preserve">precizēt atlases nolikumu, paredzot, </w:t>
      </w:r>
      <w:r w:rsidRPr="001C5B90" w:rsidR="00B01CBA">
        <w:t>j</w:t>
      </w:r>
      <w:r w:rsidRPr="001C5B90">
        <w:t>a vairāki pētniecības pieteikumi ir saņēmuši vienādu punktu skaitu, prioritāri atbalstāmi tie pētniecības pieteikumiem</w:t>
      </w:r>
      <w:r w:rsidR="001C5B90">
        <w:t xml:space="preserve">, </w:t>
      </w:r>
      <w:r w:rsidRPr="001C5B90">
        <w:t>kuri saņēmuši augstāku vērtējumu kritērijā “izcilība”</w:t>
      </w:r>
      <w:r w:rsidRPr="007E150A">
        <w:t>;</w:t>
      </w:r>
    </w:p>
    <w:p w:rsidR="00035354" w:rsidP="00160F57" w14:paraId="664E8AFF" w14:textId="77777777">
      <w:pPr>
        <w:pStyle w:val="ListParagraph"/>
      </w:pPr>
      <w:r>
        <w:t>3</w:t>
      </w:r>
      <w:r w:rsidR="00266B04">
        <w:t>. p</w:t>
      </w:r>
      <w:r w:rsidRPr="00E81F8D" w:rsidR="00266B04">
        <w:t xml:space="preserve">recizēt </w:t>
      </w:r>
      <w:r w:rsidR="000A7BED">
        <w:t>p</w:t>
      </w:r>
      <w:r w:rsidRPr="000A7BED" w:rsidR="000A7BED">
        <w:t>ētniecības pieteikuma administratīvās un atbilstības vērtēšanas vadlīnijas un metodik</w:t>
      </w:r>
      <w:r w:rsidR="000A7BED">
        <w:t xml:space="preserve">u, kā arī </w:t>
      </w:r>
      <w:r w:rsidRPr="00E81F8D" w:rsidR="00266B04">
        <w:t>pētniecības pieteikuma administratīvos un atbilstības vērtēšanas kritērijus</w:t>
      </w:r>
      <w:r>
        <w:t>:</w:t>
      </w:r>
    </w:p>
    <w:p w:rsidR="00035354" w:rsidP="00160F57" w14:paraId="30FA7AFC" w14:textId="2B0EB518">
      <w:pPr>
        <w:pStyle w:val="ListParagraph"/>
      </w:pPr>
      <w:r>
        <w:t>3.1. </w:t>
      </w:r>
      <w:r w:rsidRPr="00D61EB4" w:rsidR="00D61EB4">
        <w:t xml:space="preserve">iekļaujot jaunu </w:t>
      </w:r>
      <w:r w:rsidRPr="00D61EB4">
        <w:t>nepapildinām</w:t>
      </w:r>
      <w:r w:rsidRPr="00D61EB4" w:rsidR="00D61EB4">
        <w:t>o</w:t>
      </w:r>
      <w:r w:rsidRPr="00D61EB4">
        <w:t xml:space="preserve"> kritērij</w:t>
      </w:r>
      <w:r w:rsidRPr="00D61EB4" w:rsidR="00D61EB4">
        <w:t>u, kas nosaka, ka</w:t>
      </w:r>
      <w:r w:rsidRPr="00D61EB4">
        <w:t xml:space="preserve"> pēcdoktorantam jaunizveidotā amata vieta sniedz ieguldījumu </w:t>
      </w:r>
      <w:r w:rsidR="007855F8">
        <w:t>1.1.1.2. </w:t>
      </w:r>
      <w:r w:rsidRPr="00D61EB4">
        <w:t>pasākuma MK noteikumos noteiktā iznākuma rādītāja “</w:t>
      </w:r>
      <w:r w:rsidRPr="007855F8">
        <w:rPr>
          <w:i/>
        </w:rPr>
        <w:t>atbalstītajās vienībās izveidoto jaunu pētnieku amata vietu skaits pilna darba laika ekvivalenta izteiksmē</w:t>
      </w:r>
      <w:r w:rsidRPr="00D61EB4">
        <w:t>” sasniegšanā</w:t>
      </w:r>
      <w:r w:rsidR="007855F8">
        <w:t xml:space="preserve">, ja </w:t>
      </w:r>
      <w:r w:rsidRPr="007855F8" w:rsidR="007855F8">
        <w:t>Eiropas Komisija neatbalstīs Izglītības un zinātnes ministrijas ierosinātos grozījumus darbības programmā</w:t>
      </w:r>
      <w:r w:rsidRPr="00D61EB4" w:rsidR="00D61EB4">
        <w:t>;</w:t>
      </w:r>
    </w:p>
    <w:p w:rsidR="00D241F5" w:rsidP="00160F57" w14:paraId="02FD11BD" w14:textId="4C59ED89">
      <w:pPr>
        <w:pStyle w:val="ListParagraph"/>
      </w:pPr>
      <w:r>
        <w:t>3.2. </w:t>
      </w:r>
      <w:r w:rsidR="00266B04">
        <w:t>papildin</w:t>
      </w:r>
      <w:r w:rsidR="00CE2A06">
        <w:t>ot</w:t>
      </w:r>
      <w:r w:rsidR="00266B04">
        <w:t xml:space="preserve"> ar </w:t>
      </w:r>
      <w:r w:rsidR="00042FEC">
        <w:t>nosacījumiem</w:t>
      </w:r>
      <w:r w:rsidR="00CE2A06">
        <w:t xml:space="preserve"> </w:t>
      </w:r>
      <w:r w:rsidR="00266B04">
        <w:t xml:space="preserve">zinātniskās institūcijas atbilstības </w:t>
      </w:r>
      <w:r w:rsidRPr="00E81F8D" w:rsidR="00266B04">
        <w:t xml:space="preserve">pētniecības organizācijas </w:t>
      </w:r>
      <w:r w:rsidR="00266B04">
        <w:t xml:space="preserve">statusam novērtēšanai saskaņā ar </w:t>
      </w:r>
      <w:r w:rsidRPr="00E81F8D" w:rsidR="00266B04">
        <w:t xml:space="preserve">Eiropas Komisijas 2014. gada 17. jūnija Regulas Nr. 651/2014, ar ko noteiktas atbalsta kategorijas atzīst par saderīgām ar iekšējo tirgu, piemērojot Līguma 107. un 108. pantu (turpmāk – Komisijas regula Nr. 651/2014), 2. panta </w:t>
      </w:r>
      <w:r w:rsidR="00266B04">
        <w:t>8</w:t>
      </w:r>
      <w:r w:rsidRPr="00E81F8D" w:rsidR="00266B04">
        <w:t>3. punktā noteikt</w:t>
      </w:r>
      <w:r w:rsidR="00266B04">
        <w:t>o</w:t>
      </w:r>
      <w:r w:rsidRPr="00E81F8D" w:rsidR="00266B04">
        <w:t xml:space="preserve"> definīcij</w:t>
      </w:r>
      <w:r w:rsidR="000A7BED">
        <w:t>u</w:t>
      </w:r>
      <w:r w:rsidR="00D379AF">
        <w:t>.</w:t>
      </w:r>
    </w:p>
    <w:p w:rsidR="003B6F9D" w:rsidRPr="003F7D1B" w:rsidP="00F73A7F" w14:paraId="419E36F5" w14:textId="77777777">
      <w:pPr>
        <w:pStyle w:val="Heading2"/>
        <w:rPr>
          <w:rStyle w:val="Heading2Char"/>
        </w:rPr>
      </w:pPr>
      <w:bookmarkStart w:id="125" w:name="_Toc494727612"/>
      <w:bookmarkStart w:id="126" w:name="_Toc499019526"/>
      <w:bookmarkStart w:id="127" w:name="_Toc505086382"/>
      <w:bookmarkStart w:id="128" w:name="_Toc256000020"/>
      <w:bookmarkStart w:id="129" w:name="_Toc256000047"/>
      <w:r>
        <w:t>3</w:t>
      </w:r>
      <w:r w:rsidRPr="003F7D1B" w:rsidR="00DB64EA">
        <w:rPr>
          <w:rStyle w:val="Heading2Char"/>
        </w:rPr>
        <w:t>.</w:t>
      </w:r>
      <w:r w:rsidRPr="003F7D1B" w:rsidR="00266B04">
        <w:rPr>
          <w:rStyle w:val="Heading2Char"/>
        </w:rPr>
        <w:t>2</w:t>
      </w:r>
      <w:r w:rsidRPr="003F7D1B" w:rsidR="00DB64EA">
        <w:rPr>
          <w:rStyle w:val="Heading2Char"/>
        </w:rPr>
        <w:t>. </w:t>
      </w:r>
      <w:r w:rsidRPr="003F7D1B">
        <w:rPr>
          <w:rStyle w:val="Heading2Char"/>
        </w:rPr>
        <w:t>MK noteikumi</w:t>
      </w:r>
      <w:r w:rsidR="00F73A7F">
        <w:rPr>
          <w:rStyle w:val="Heading2Char"/>
        </w:rPr>
        <w:t xml:space="preserve"> par pasākumu īstenošanu</w:t>
      </w:r>
      <w:bookmarkEnd w:id="129"/>
      <w:bookmarkEnd w:id="128"/>
      <w:bookmarkEnd w:id="125"/>
      <w:bookmarkEnd w:id="126"/>
      <w:bookmarkEnd w:id="127"/>
    </w:p>
    <w:p w:rsidR="008A56D5" w:rsidRPr="00486A70" w:rsidP="00F73A7F" w14:paraId="6DAF30CA" w14:textId="77777777">
      <w:pPr>
        <w:pStyle w:val="Heading3"/>
      </w:pPr>
      <w:bookmarkStart w:id="130" w:name="_Toc494727613"/>
      <w:bookmarkStart w:id="131" w:name="_Toc499019527"/>
      <w:bookmarkStart w:id="132" w:name="_Toc505086383"/>
      <w:bookmarkStart w:id="133" w:name="_Toc256000021"/>
      <w:bookmarkStart w:id="134" w:name="_Toc256000048"/>
      <w:r>
        <w:t>3.2.1. </w:t>
      </w:r>
      <w:r w:rsidRPr="00486A70">
        <w:t>MK noteikumi Nr. 34</w:t>
      </w:r>
      <w:bookmarkEnd w:id="134"/>
      <w:bookmarkEnd w:id="133"/>
      <w:bookmarkEnd w:id="130"/>
      <w:bookmarkEnd w:id="131"/>
      <w:bookmarkEnd w:id="132"/>
    </w:p>
    <w:p w:rsidR="008A56D5" w:rsidP="008A56D5" w14:paraId="74EFB9C7" w14:textId="77777777">
      <w:pPr>
        <w:rPr>
          <w:lang w:eastAsia="lv-LV"/>
        </w:rPr>
      </w:pPr>
      <w:r>
        <w:rPr>
          <w:lang w:eastAsia="lv-LV"/>
        </w:rPr>
        <w:t xml:space="preserve">Ņemot vērā 1.1.1.1.pasākuma pirmās projektu iesniegumu atlases kārtas ieviešanas analīzes rezultātus, </w:t>
      </w:r>
      <w:r w:rsidR="00AC6DE3">
        <w:rPr>
          <w:lang w:eastAsia="lv-LV"/>
        </w:rPr>
        <w:t>IZM plāno izstrādāt un iesniegt MK apstiprināšanai</w:t>
      </w:r>
      <w:r>
        <w:rPr>
          <w:lang w:eastAsia="lv-LV"/>
        </w:rPr>
        <w:t xml:space="preserve"> šādus grozījumus MK noteikumos Nr. 34:</w:t>
      </w:r>
    </w:p>
    <w:p w:rsidR="00AC0DAD" w:rsidRPr="00F77DD2" w:rsidP="00160F57" w14:paraId="2BB70600" w14:textId="77777777">
      <w:pPr>
        <w:pStyle w:val="ListParagraph"/>
      </w:pPr>
      <w:r w:rsidRPr="00F77DD2">
        <w:t>1. noteikt, ka otrajā un turpmākajās atlases kārtās fundamentālie pētījumi atbalstāmi</w:t>
      </w:r>
      <w:r w:rsidRPr="00F77DD2" w:rsidR="005203F8">
        <w:t xml:space="preserve"> </w:t>
      </w:r>
      <w:r w:rsidRPr="00F77DD2">
        <w:t>ar saimniecisku darbību nesaistītu projektu</w:t>
      </w:r>
      <w:r w:rsidRPr="00F77DD2" w:rsidR="005203F8">
        <w:t xml:space="preserve"> ietvaros</w:t>
      </w:r>
      <w:r w:rsidR="005203F8">
        <w:t xml:space="preserve">. </w:t>
      </w:r>
      <w:r w:rsidRPr="005203F8" w:rsidR="005203F8">
        <w:t>Kopējais</w:t>
      </w:r>
      <w:r w:rsidRPr="00F77DD2" w:rsidR="005203F8">
        <w:t xml:space="preserve"> publiskais finansējums fundamentālo pētījumu īstenošanai nepārsniedz 10 procentus no </w:t>
      </w:r>
      <w:r w:rsidRPr="005203F8" w:rsidR="005203F8">
        <w:t xml:space="preserve">kopējā </w:t>
      </w:r>
      <w:r w:rsidR="005203F8">
        <w:t>ar saimniecisku darbību nesaistītu</w:t>
      </w:r>
      <w:r w:rsidRPr="005203F8" w:rsidR="005203F8">
        <w:t xml:space="preserve"> projektu īstenošanai attiecīgajā kārtā pieejamā publiskā attiecināmā finansējuma</w:t>
      </w:r>
      <w:r w:rsidRPr="00F77DD2">
        <w:t>. Minētā norma sekmēs SAM 1.1.1. specifisko un vispārīgo iznākuma rādītāju izpildi, tai skaitā: privātās investīcijas, kas papildina valsts atbalstu inovācijām vai pētniecības un izstrādes projektiem, komersantu skaits, kas sadarbojas ar pētniecības organizācijām (skat. šī ziņojuma 2.5. sadaļas 2.punktu); valsts un augstākās izglītības sektora piesaistītais ārējais finansējums zinātniski pētnieciskajam darbam</w:t>
      </w:r>
      <w:r w:rsidRPr="00F77DD2">
        <w:t xml:space="preserve"> </w:t>
      </w:r>
      <w:r w:rsidRPr="00F77DD2">
        <w:t>(r.1.1.1.a), privātās investīcijas, kas papildina valsts atbalstu inovācijām vai pētniecības un izstrādes projektiem (i.1.1.1.f); Jauno produktu un tehnoloģiju skaits, kas ir komercializējami un kuru izstrādei sniegts atbalsts” (i.1.1.1.g), “Tehnoloģiju tiesības”, “Intelektuālā īpašuma licences līgumi”, “Jauna produkta vai jaunas tehnoloģijas prototips” (skat. šī ziņojuma 2.5. sadaļas 2., 3. punktu);</w:t>
      </w:r>
    </w:p>
    <w:p w:rsidR="00AC0DAD" w:rsidRPr="00F77DD2" w:rsidP="00160F57" w14:paraId="276DE779" w14:textId="5E6A2726">
      <w:pPr>
        <w:pStyle w:val="ListParagraph"/>
      </w:pPr>
      <w:r w:rsidRPr="00F77DD2">
        <w:t>2.</w:t>
      </w:r>
      <w:r w:rsidR="00AE61BB">
        <w:t> </w:t>
      </w:r>
      <w:r w:rsidRPr="00F77DD2">
        <w:t>noteikt ar saimniecisku darbību nesaistītu projektu ERAF un valsts budžeta atbalsta intensitātes apmērus, paredzot, ka otrās un turpmāko projektu iesniegumu atlases kārtu ietvaros ar saimniecisku darbību nesaistītu projektu ERAF atbalsta intensitāte ir 57.80% un VB intensitāte ir 34,70% (</w:t>
      </w:r>
      <w:r w:rsidR="001346F7">
        <w:t>3</w:t>
      </w:r>
      <w:r w:rsidRPr="00F77DD2">
        <w:t>. tabula, šī ziņojuma 2.5. sadaļas 3. un 4. punkts);</w:t>
      </w:r>
    </w:p>
    <w:p w:rsidR="001346F7" w:rsidP="00160F57" w14:paraId="092DC85D" w14:textId="77777777">
      <w:pPr>
        <w:pStyle w:val="ListParagraph"/>
      </w:pPr>
      <w:r>
        <w:t>3. paredzēt, ka o</w:t>
      </w:r>
      <w:r w:rsidRPr="00A4049D">
        <w:t>trajā un turpmākajās projektu iesniegumu atlases kārtās</w:t>
      </w:r>
      <w:r w:rsidRPr="00A15955">
        <w:t xml:space="preserve"> </w:t>
      </w:r>
      <w:r w:rsidRPr="00A9476E">
        <w:t xml:space="preserve">ar saimniecisku darbību saistītiem projektiem pieejamā </w:t>
      </w:r>
      <w:r>
        <w:t>ERAF</w:t>
      </w:r>
      <w:r w:rsidRPr="00A9476E">
        <w:t xml:space="preserve"> finansējuma apmērs ir </w:t>
      </w:r>
      <w:r>
        <w:t>50% (</w:t>
      </w:r>
      <w:r w:rsidRPr="00A9476E">
        <w:t xml:space="preserve">14 129 579 </w:t>
      </w:r>
      <w:r w:rsidRPr="00A4049D">
        <w:rPr>
          <w:i/>
        </w:rPr>
        <w:t>euro</w:t>
      </w:r>
      <w:r w:rsidRPr="00A4049D">
        <w:t>)</w:t>
      </w:r>
      <w:r>
        <w:t xml:space="preserve"> no Praktiskas ievirzes pētījumu programmas kopējā pieejamā ERAF finansējuma apmēra;</w:t>
      </w:r>
    </w:p>
    <w:p w:rsidR="001346F7" w:rsidP="00160F57" w14:paraId="3C6C4544" w14:textId="62768BB0">
      <w:pPr>
        <w:pStyle w:val="ListParagraph"/>
      </w:pPr>
      <w:r>
        <w:t>4</w:t>
      </w:r>
      <w:r w:rsidRPr="00F77DD2">
        <w:t>. papildināt noteikumus, nosakot</w:t>
      </w:r>
      <w:r>
        <w:t xml:space="preserve">, ka </w:t>
      </w:r>
      <w:r w:rsidR="001F3A58">
        <w:t>finansējuma saņēmējs projekta iesniegumā pamato sagaidāmo pētniecības rezultātu ilgtspēju vismaz piecus gadus pēc noslēguma maksājuma veikšanas atbilstoši vienam vai vairākiem šādiem ieguldījumiem inovācijas sistēmas kapacitātes palielināšanā</w:t>
      </w:r>
      <w:r w:rsidRPr="001026CD">
        <w:t xml:space="preserve">: </w:t>
      </w:r>
    </w:p>
    <w:p w:rsidR="001346F7" w:rsidP="001F3A58" w14:paraId="4376FBB0" w14:textId="6C415738">
      <w:pPr>
        <w:pStyle w:val="BulletF"/>
      </w:pPr>
      <w:r w:rsidRPr="001F3A58">
        <w:t>ieguldījums cilvēkkapitāla attīstībā – projekta ietvaros izveidoto jaunu pētnieku darba vietu saglabāšana</w:t>
      </w:r>
      <w:r w:rsidRPr="001026CD">
        <w:t>;</w:t>
      </w:r>
    </w:p>
    <w:p w:rsidR="001F3A58" w:rsidRPr="001026CD" w:rsidP="001F3A58" w14:paraId="131B0AA0" w14:textId="40CE48E6">
      <w:pPr>
        <w:pStyle w:val="BulletF"/>
      </w:pPr>
      <w:r w:rsidRPr="001F3A58">
        <w:t xml:space="preserve">projekta ietvaros radīto zināšanu un tehnoloģiju pārnese, tajā skaitā zinātniskie raksti, </w:t>
      </w:r>
      <w:r>
        <w:t>(</w:t>
      </w:r>
      <w:r w:rsidRPr="001F3A58">
        <w:t>kas publicēti žurnālos vai konferenču rakstu krājumos, kuru citēšanas indekss sasniedz vismaz 50 procentus no nozares vidējā citēšanas indeksa</w:t>
      </w:r>
      <w:r>
        <w:t>),</w:t>
      </w:r>
      <w:r w:rsidRPr="001F3A58">
        <w:t xml:space="preserve"> reģistrētas tehnoloģiju tiesības, intelektuālā īpašuma licences līgumi</w:t>
      </w:r>
      <w:r>
        <w:t>;</w:t>
      </w:r>
    </w:p>
    <w:p w:rsidR="001346F7" w:rsidP="001346F7" w14:paraId="46A267E1" w14:textId="0B17499E">
      <w:pPr>
        <w:pStyle w:val="BulletF"/>
      </w:pPr>
      <w:r w:rsidRPr="001026CD">
        <w:t>projekta ietvaros izstrādātā prototipa pilnveide</w:t>
      </w:r>
      <w:r w:rsidR="001F3A58">
        <w:t>, lai</w:t>
      </w:r>
      <w:r w:rsidRPr="001026CD">
        <w:t xml:space="preserve"> ievie</w:t>
      </w:r>
      <w:r w:rsidR="001F3A58">
        <w:t>stu</w:t>
      </w:r>
      <w:r w:rsidRPr="001026CD">
        <w:t xml:space="preserve"> ražošanā vai pakalpojumu sniegšanā;</w:t>
      </w:r>
    </w:p>
    <w:p w:rsidR="001F3A58" w:rsidRPr="001026CD" w:rsidP="000E352F" w14:paraId="176FE26E" w14:textId="26858C00">
      <w:pPr>
        <w:pStyle w:val="BulletF"/>
      </w:pPr>
      <w:r>
        <w:t xml:space="preserve">citu </w:t>
      </w:r>
      <w:r w:rsidRPr="000E352F">
        <w:t>projekta specifikai atbilstošo pētniecības rezultātu uzturēšana, pilnveide vai aktualizācija</w:t>
      </w:r>
      <w:r>
        <w:t>.</w:t>
      </w:r>
    </w:p>
    <w:p w:rsidR="001F3A58" w:rsidP="00160F57" w14:paraId="0F308E44" w14:textId="77777777">
      <w:pPr>
        <w:pStyle w:val="ListParagraph"/>
      </w:pPr>
    </w:p>
    <w:p w:rsidR="000E352F" w:rsidP="00160F57" w14:paraId="06CFFC63" w14:textId="77777777">
      <w:pPr>
        <w:pStyle w:val="ListParagraph"/>
        <w:rPr>
          <w:rStyle w:val="CaptionChar"/>
        </w:rPr>
      </w:pPr>
      <w:r w:rsidRPr="00A4049D">
        <w:rPr>
          <w:rStyle w:val="CaptionChar"/>
        </w:rPr>
        <w:fldChar w:fldCharType="begin"/>
      </w:r>
      <w:r w:rsidRPr="00A4049D">
        <w:rPr>
          <w:rStyle w:val="CaptionChar"/>
        </w:rPr>
        <w:instrText xml:space="preserve"> SEQ tabula \* ARABIC </w:instrText>
      </w:r>
      <w:r w:rsidRPr="00A4049D">
        <w:rPr>
          <w:rStyle w:val="CaptionChar"/>
        </w:rPr>
        <w:fldChar w:fldCharType="separate"/>
      </w:r>
      <w:r w:rsidRPr="00A4049D">
        <w:rPr>
          <w:rStyle w:val="CaptionChar"/>
        </w:rPr>
        <w:t>3</w:t>
      </w:r>
      <w:r w:rsidRPr="00A4049D">
        <w:rPr>
          <w:rStyle w:val="CaptionChar"/>
        </w:rPr>
        <w:fldChar w:fldCharType="end"/>
      </w:r>
      <w:r w:rsidRPr="00A4049D">
        <w:rPr>
          <w:rStyle w:val="CaptionChar"/>
        </w:rPr>
        <w:t>. tabula. Ar saimniecisku darbību nesaistīta projektu ERAF atbalsta intensitātes aprēķini (objekts: Microsoft Excel worksheet)</w:t>
      </w:r>
    </w:p>
    <w:p w:rsidR="000E352F" w:rsidP="00160F57" w14:paraId="74121AAF" w14:textId="77777777">
      <w:pPr>
        <w:pStyle w:val="ListParagraph"/>
        <w:rPr>
          <w:rFonts w:eastAsia="Times New Roman" w:cs="Times New Roman"/>
        </w:rPr>
      </w:pPr>
      <w:bookmarkStart w:id="135" w:name="_MON_1572436869"/>
      <w:bookmarkEnd w:id="135"/>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4.75pt;height:323.63pt" o:oleicon="f"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Excel.Sheet.8" ShapeID="_x0000_i1035" DrawAspect="Content" ObjectID="_1579510819" r:id="rId42"/>
        </w:object>
      </w:r>
    </w:p>
    <w:p w:rsidR="001346F7" w:rsidRPr="00F77DD2" w:rsidP="00160F57" w14:paraId="33002908" w14:textId="77777777">
      <w:pPr>
        <w:pStyle w:val="ListParagraph"/>
      </w:pPr>
      <w:r>
        <w:t>5</w:t>
      </w:r>
      <w:r w:rsidRPr="00F77DD2">
        <w:t>. papildināt noteikumus ar terminiem:</w:t>
      </w:r>
    </w:p>
    <w:p w:rsidR="001346F7" w:rsidRPr="00F77DD2" w:rsidP="001346F7" w14:paraId="2832DD24" w14:textId="77777777">
      <w:pPr>
        <w:ind w:firstLine="357"/>
      </w:pPr>
      <w:r>
        <w:t>5</w:t>
      </w:r>
      <w:r w:rsidRPr="00F77DD2">
        <w:t>.1. jaunu pētnieku skaits atbalstītajās vienībās – tādu pētniecības projekta ietvaros piesaistīt</w:t>
      </w:r>
      <w:r>
        <w:t>ā</w:t>
      </w:r>
      <w:r w:rsidRPr="00F77DD2">
        <w:t xml:space="preserve"> </w:t>
      </w:r>
      <w:r>
        <w:t>zinātniskā personāla un zinātnes tehniskā personāla</w:t>
      </w:r>
      <w:r w:rsidRPr="00F77DD2">
        <w:t xml:space="preserve"> skaits pilna laika ekvivalenta izteiksmē (turpmāk – PLE):</w:t>
      </w:r>
    </w:p>
    <w:p w:rsidR="001346F7" w:rsidP="001346F7" w14:paraId="425A81A0" w14:textId="77777777">
      <w:pPr>
        <w:pStyle w:val="BulletF"/>
      </w:pPr>
      <w:r>
        <w:t>kas tieši iesaistīti pētniecības īstenošanā – zinātniskais personāls un zinātnes tehniskais personāls;</w:t>
      </w:r>
    </w:p>
    <w:p w:rsidR="001346F7" w:rsidRPr="00F77DD2" w:rsidP="001346F7" w14:paraId="252B9EE9" w14:textId="77777777">
      <w:pPr>
        <w:pStyle w:val="BulletF"/>
      </w:pPr>
      <w:r w:rsidRPr="00F77DD2">
        <w:t xml:space="preserve">kuru piesaistes rezultātā </w:t>
      </w:r>
      <w:r>
        <w:t xml:space="preserve">institūcijā: izveido zinātniskā personāla vai zinātnes tehniskā personāla (jaunu pētnieka) amata vietu un </w:t>
      </w:r>
      <w:r w:rsidRPr="00F77DD2">
        <w:t xml:space="preserve">palielinās kopējais </w:t>
      </w:r>
      <w:r>
        <w:t>pētniecībā</w:t>
      </w:r>
      <w:r w:rsidRPr="00F77DD2">
        <w:t xml:space="preserve"> nodarbināto </w:t>
      </w:r>
      <w:r>
        <w:t>personu</w:t>
      </w:r>
      <w:r w:rsidRPr="00F77DD2">
        <w:t xml:space="preserve"> skaits</w:t>
      </w:r>
      <w:r>
        <w:t xml:space="preserve">; </w:t>
      </w:r>
    </w:p>
    <w:p w:rsidR="001346F7" w:rsidRPr="00C637C6" w:rsidP="001346F7" w14:paraId="157C0493" w14:textId="7BA1644A">
      <w:pPr>
        <w:ind w:firstLine="357"/>
      </w:pPr>
      <w:r w:rsidRPr="00C637C6">
        <w:t>5.2. </w:t>
      </w:r>
      <w:r w:rsidRPr="00206A8D" w:rsidR="00206A8D">
        <w:t xml:space="preserve">jaunu produktu un tehnoloģiju skaits, kas ir komercializējamas – projekta ietvaros izstrādāto prototipu skaits, ja piecu gadu laikā pēc pēdējā maksājuma veikšanas nodrošina </w:t>
      </w:r>
      <w:r w:rsidR="000140E1">
        <w:t>projekta rezultātu</w:t>
      </w:r>
      <w:r w:rsidRPr="00206A8D" w:rsidR="00206A8D">
        <w:t xml:space="preserve"> ilgtspēju, sniedzot ieguldījumu inovācijas sistēmas attīstībā atbilstoši vienam vai vairākiem ieguldījumu veidiem</w:t>
      </w:r>
      <w:r w:rsidRPr="00C637C6">
        <w:t>:</w:t>
      </w:r>
    </w:p>
    <w:p w:rsidR="001346F7" w:rsidRPr="00246857" w:rsidP="001346F7" w14:paraId="51C82A28" w14:textId="666C5280">
      <w:pPr>
        <w:pStyle w:val="BulletF"/>
      </w:pPr>
      <w:r w:rsidRPr="00206A8D">
        <w:rPr>
          <w:rStyle w:val="CaptionChar"/>
          <w:b w:val="0"/>
          <w:sz w:val="24"/>
          <w:szCs w:val="24"/>
        </w:rPr>
        <w:t>aizsargā tehnoloģiju tiesības, kas saistītas ar prototipu</w:t>
      </w:r>
      <w:r w:rsidRPr="00246857">
        <w:t>;</w:t>
      </w:r>
    </w:p>
    <w:p w:rsidR="001346F7" w:rsidRPr="000140E1" w:rsidP="001346F7" w14:paraId="07062790" w14:textId="3537B81C">
      <w:pPr>
        <w:pStyle w:val="BulletF"/>
      </w:pPr>
      <w:r w:rsidRPr="000140E1">
        <w:rPr>
          <w:rStyle w:val="CaptionChar"/>
          <w:b w:val="0"/>
          <w:sz w:val="24"/>
          <w:szCs w:val="24"/>
        </w:rPr>
        <w:t>slēdz intelektuālā īpašuma licences līgumu</w:t>
      </w:r>
      <w:r w:rsidRPr="000140E1">
        <w:t>;</w:t>
      </w:r>
    </w:p>
    <w:p w:rsidR="000140E1" w:rsidRPr="000140E1" w:rsidP="001346F7" w14:paraId="79915919" w14:textId="77777777">
      <w:pPr>
        <w:pStyle w:val="BulletF"/>
        <w:rPr>
          <w:rStyle w:val="CaptionChar"/>
          <w:b w:val="0"/>
          <w:bCs w:val="0"/>
          <w:color w:val="auto"/>
          <w:sz w:val="24"/>
          <w:szCs w:val="24"/>
        </w:rPr>
      </w:pPr>
      <w:r w:rsidRPr="000140E1">
        <w:rPr>
          <w:rStyle w:val="CaptionChar"/>
          <w:b w:val="0"/>
          <w:sz w:val="24"/>
          <w:szCs w:val="24"/>
        </w:rPr>
        <w:t>pilnveido projekta ietvaros izstrādāto prototipu, lai ieviestu ražošanā vai pakalpojumu sniegšanā</w:t>
      </w:r>
      <w:r w:rsidRPr="000140E1">
        <w:rPr>
          <w:rStyle w:val="CaptionChar"/>
          <w:b w:val="0"/>
          <w:sz w:val="24"/>
          <w:szCs w:val="24"/>
        </w:rPr>
        <w:t>;</w:t>
      </w:r>
    </w:p>
    <w:p w:rsidR="00206A8D" w:rsidRPr="000140E1" w:rsidP="001346F7" w14:paraId="73223804" w14:textId="70D77179">
      <w:pPr>
        <w:pStyle w:val="BulletF"/>
      </w:pPr>
      <w:r w:rsidRPr="000140E1">
        <w:rPr>
          <w:rStyle w:val="CaptionChar"/>
          <w:b w:val="0"/>
          <w:sz w:val="24"/>
          <w:szCs w:val="24"/>
        </w:rPr>
        <w:t>citu projekta specifikai atbilstošu pētniecības rezultātu uzturēšana, pilnveide vai aktualizācija</w:t>
      </w:r>
      <w:r>
        <w:rPr>
          <w:rStyle w:val="CaptionChar"/>
          <w:b w:val="0"/>
          <w:sz w:val="24"/>
          <w:szCs w:val="24"/>
        </w:rPr>
        <w:t>;</w:t>
      </w:r>
    </w:p>
    <w:p w:rsidR="002C0ED2" w:rsidP="00160F57" w14:paraId="23CFF08D" w14:textId="1C79FB18">
      <w:pPr>
        <w:pStyle w:val="ListParagraph"/>
      </w:pPr>
      <w:r>
        <w:t>6</w:t>
      </w:r>
      <w:r w:rsidRPr="00846B1F" w:rsidR="00902F78">
        <w:t xml:space="preserve">. papildināt noteikumus, precizējot to projektu iesniegumu vērtēšanas </w:t>
      </w:r>
      <w:r w:rsidRPr="00846B1F" w:rsidR="007E150A">
        <w:t>kārtību</w:t>
      </w:r>
      <w:r w:rsidRPr="00846B1F" w:rsidR="00902F78">
        <w:t xml:space="preserve">, kas tika iesniegti Eiropas Savienības pētniecības un inovāciju pamatprogrammā </w:t>
      </w:r>
      <w:r w:rsidRPr="00846B1F" w:rsidR="00A26E0A">
        <w:t>“</w:t>
      </w:r>
      <w:r w:rsidRPr="00846B1F" w:rsidR="00902F78">
        <w:t>Apvārsnis 2020</w:t>
      </w:r>
      <w:r w:rsidRPr="00846B1F" w:rsidR="00A26E0A">
        <w:t>”</w:t>
      </w:r>
      <w:r w:rsidRPr="00846B1F" w:rsidR="00902F78">
        <w:t xml:space="preserve"> un novērtēt</w:t>
      </w:r>
      <w:r w:rsidRPr="00846B1F" w:rsidR="00AC6DE3">
        <w:t>i</w:t>
      </w:r>
      <w:r w:rsidRPr="00846B1F" w:rsidR="00902F78">
        <w:t xml:space="preserve"> virs kvalitātes sliekšņa, bet nesaņēma f</w:t>
      </w:r>
      <w:r>
        <w:t>inansējumu projekta īstenošanai (turpmāk - programmas "Apvārsnis 2020" projekts), ievērojot šādus nosacījumus:</w:t>
      </w:r>
    </w:p>
    <w:p w:rsidR="00AC20CA" w:rsidRPr="00D379F7" w:rsidP="00AC20CA" w14:paraId="4090DA3A" w14:textId="68CE6EE9">
      <w:pPr>
        <w:pStyle w:val="BulletF"/>
      </w:pPr>
      <w:r w:rsidRPr="00D379F7">
        <w:t xml:space="preserve">ja programmas "Apvārsnis 2020" un pasākuma ietvaros konkrētā kvalitātes kritērija vērtēšanas sistēmas nav identiskas, veic vērtējuma pārrēķinu, izmantojot šādu formulu: </w:t>
      </w:r>
    </w:p>
    <w:p w:rsidR="00AC20CA" w:rsidRPr="00AC20CA" w:rsidP="00AC20CA" w14:paraId="6DE40009" w14:textId="77777777">
      <w:pPr>
        <w:jc w:val="center"/>
        <w:rPr>
          <w:color w:val="000000"/>
          <w:szCs w:val="24"/>
        </w:rPr>
      </w:pPr>
      <w:r w:rsidRPr="00AC20CA">
        <w:rPr>
          <w:color w:val="000000"/>
          <w:szCs w:val="24"/>
        </w:rPr>
        <w:t>P</w:t>
      </w:r>
      <w:r w:rsidRPr="00AC20CA">
        <w:rPr>
          <w:color w:val="000000"/>
          <w:szCs w:val="24"/>
          <w:vertAlign w:val="subscript"/>
        </w:rPr>
        <w:t>KV</w:t>
      </w:r>
      <w:r w:rsidRPr="00AC20CA">
        <w:rPr>
          <w:color w:val="000000"/>
          <w:szCs w:val="24"/>
        </w:rPr>
        <w:t xml:space="preserve"> = P</w:t>
      </w:r>
      <w:r w:rsidRPr="00AC20CA">
        <w:rPr>
          <w:color w:val="000000"/>
          <w:szCs w:val="24"/>
          <w:vertAlign w:val="subscript"/>
        </w:rPr>
        <w:t>H2020</w:t>
      </w:r>
      <w:r w:rsidRPr="00AC20CA">
        <w:rPr>
          <w:color w:val="000000"/>
          <w:szCs w:val="24"/>
        </w:rPr>
        <w:t xml:space="preserve"> * P</w:t>
      </w:r>
      <w:r w:rsidRPr="00AC20CA">
        <w:rPr>
          <w:color w:val="000000"/>
          <w:szCs w:val="24"/>
          <w:vertAlign w:val="subscript"/>
        </w:rPr>
        <w:t>KV Max</w:t>
      </w:r>
      <w:r w:rsidRPr="00AC20CA">
        <w:rPr>
          <w:color w:val="000000"/>
          <w:szCs w:val="24"/>
        </w:rPr>
        <w:t xml:space="preserve"> / P</w:t>
      </w:r>
      <w:r w:rsidRPr="00AC20CA">
        <w:rPr>
          <w:color w:val="000000"/>
          <w:szCs w:val="24"/>
          <w:vertAlign w:val="subscript"/>
        </w:rPr>
        <w:t>H2020 Max</w:t>
      </w:r>
      <w:r w:rsidRPr="00AC20CA">
        <w:rPr>
          <w:color w:val="000000"/>
          <w:szCs w:val="24"/>
        </w:rPr>
        <w:t>, kur:</w:t>
      </w:r>
    </w:p>
    <w:p w:rsidR="00AC20CA" w:rsidRPr="00AC20CA" w:rsidP="00AC20CA" w14:paraId="2D360134" w14:textId="77777777">
      <w:pPr>
        <w:ind w:firstLine="720"/>
        <w:rPr>
          <w:color w:val="000000"/>
          <w:szCs w:val="24"/>
        </w:rPr>
      </w:pPr>
      <w:r w:rsidRPr="00AC20CA">
        <w:rPr>
          <w:color w:val="000000"/>
          <w:szCs w:val="24"/>
        </w:rPr>
        <w:t>P</w:t>
      </w:r>
      <w:r w:rsidRPr="00AC20CA">
        <w:rPr>
          <w:color w:val="000000"/>
          <w:szCs w:val="24"/>
          <w:vertAlign w:val="subscript"/>
        </w:rPr>
        <w:t>KV</w:t>
      </w:r>
      <w:r w:rsidRPr="00AC20CA">
        <w:rPr>
          <w:color w:val="000000"/>
          <w:szCs w:val="24"/>
        </w:rPr>
        <w:t xml:space="preserve"> – projekta iesnieguma atbilstības konkrētam kvalitātes kritērijam vērtējums pasākuma ietvaros;</w:t>
      </w:r>
    </w:p>
    <w:p w:rsidR="00AC20CA" w:rsidRPr="00AC20CA" w:rsidP="00AC20CA" w14:paraId="0BD8FF69" w14:textId="77777777">
      <w:pPr>
        <w:ind w:firstLine="720"/>
        <w:rPr>
          <w:color w:val="000000"/>
          <w:szCs w:val="24"/>
        </w:rPr>
      </w:pPr>
      <w:r w:rsidRPr="00AC20CA">
        <w:rPr>
          <w:color w:val="000000"/>
          <w:szCs w:val="24"/>
        </w:rPr>
        <w:t>P</w:t>
      </w:r>
      <w:r w:rsidRPr="00AC20CA">
        <w:rPr>
          <w:color w:val="000000"/>
          <w:szCs w:val="24"/>
          <w:vertAlign w:val="subscript"/>
        </w:rPr>
        <w:t>H2020</w:t>
      </w:r>
      <w:r w:rsidRPr="00AC20CA">
        <w:rPr>
          <w:color w:val="000000"/>
          <w:szCs w:val="24"/>
        </w:rPr>
        <w:t xml:space="preserve"> – projekta iesnieguma atbilstības konkrētam kvalitātes kritērijam vērtējums </w:t>
      </w:r>
      <w:r w:rsidRPr="00AC20CA">
        <w:rPr>
          <w:szCs w:val="24"/>
        </w:rPr>
        <w:t>programmas "Apvārsnis 2020"</w:t>
      </w:r>
      <w:r w:rsidRPr="00AC20CA">
        <w:rPr>
          <w:color w:val="000000"/>
          <w:szCs w:val="24"/>
        </w:rPr>
        <w:t xml:space="preserve"> ietvaros;</w:t>
      </w:r>
    </w:p>
    <w:p w:rsidR="00AC20CA" w:rsidRPr="00AC20CA" w:rsidP="00AC20CA" w14:paraId="1ECB189E" w14:textId="77777777">
      <w:pPr>
        <w:ind w:firstLine="720"/>
        <w:rPr>
          <w:color w:val="000000"/>
          <w:szCs w:val="24"/>
        </w:rPr>
      </w:pPr>
      <w:r w:rsidRPr="00AC20CA">
        <w:rPr>
          <w:color w:val="000000"/>
          <w:szCs w:val="24"/>
        </w:rPr>
        <w:t>P</w:t>
      </w:r>
      <w:r w:rsidRPr="00AC20CA">
        <w:rPr>
          <w:color w:val="000000"/>
          <w:szCs w:val="24"/>
          <w:vertAlign w:val="subscript"/>
        </w:rPr>
        <w:t>KV Max</w:t>
      </w:r>
      <w:r w:rsidRPr="00AC20CA">
        <w:rPr>
          <w:color w:val="000000"/>
          <w:szCs w:val="24"/>
        </w:rPr>
        <w:t xml:space="preserve"> – konkrētā kvalitātes kritērijā maksimāli iegūstamais punktu skaits pasākuma ietvaros;</w:t>
      </w:r>
    </w:p>
    <w:p w:rsidR="00AC20CA" w:rsidRPr="00AC20CA" w:rsidP="00AC20CA" w14:paraId="21597385" w14:textId="4D54D0C6">
      <w:pPr>
        <w:ind w:firstLine="720"/>
        <w:rPr>
          <w:color w:val="000000"/>
          <w:szCs w:val="24"/>
        </w:rPr>
      </w:pPr>
      <w:r w:rsidRPr="00AC20CA">
        <w:rPr>
          <w:color w:val="000000"/>
          <w:szCs w:val="24"/>
        </w:rPr>
        <w:t>P</w:t>
      </w:r>
      <w:r w:rsidRPr="00AC20CA">
        <w:rPr>
          <w:color w:val="000000"/>
          <w:szCs w:val="24"/>
          <w:vertAlign w:val="subscript"/>
        </w:rPr>
        <w:t>H2020 Max</w:t>
      </w:r>
      <w:r w:rsidRPr="00AC20CA">
        <w:rPr>
          <w:color w:val="000000"/>
          <w:szCs w:val="24"/>
        </w:rPr>
        <w:t xml:space="preserve"> – konkrētā kvalitātes kritērijā maksimāli iegūstamais punktu skaits programmas "Apvārsnis 2020" ietvaros</w:t>
      </w:r>
      <w:r>
        <w:rPr>
          <w:color w:val="000000"/>
          <w:szCs w:val="24"/>
        </w:rPr>
        <w:t>;</w:t>
      </w:r>
    </w:p>
    <w:p w:rsidR="002C0ED2" w:rsidP="00124CD6" w14:paraId="7B4C248A" w14:textId="299A591D">
      <w:pPr>
        <w:pStyle w:val="BulletF"/>
      </w:pPr>
      <w:r>
        <w:t>programmas "Apvārsnis 2020" projektam piemēro maksimāli iespējamo punktu skaitu kvalitātes kritērijos, kas nav vērtēti pr</w:t>
      </w:r>
      <w:r w:rsidR="00AC20CA">
        <w:t xml:space="preserve">ogrammas "Apvārsnis 2020": </w:t>
      </w:r>
      <w:r>
        <w:t>kritērijs par projekta ieguldījumu nozares politikas mērķu sasniegšanā un kvalitātes kritēriji par horizontālām prioritātēm;</w:t>
      </w:r>
    </w:p>
    <w:p w:rsidR="002C0ED2" w:rsidP="00AC20CA" w14:paraId="3322C1BD" w14:textId="7F1EDCB5">
      <w:pPr>
        <w:pStyle w:val="BulletF"/>
      </w:pPr>
      <w:r w:rsidRPr="00AC20CA">
        <w:t>projektu iesniegumu vērtē un salīdzina konkrētas izlases kopas ietvaros</w:t>
      </w:r>
      <w:r>
        <w:t xml:space="preserve">: ar saimniecisku darbību saistītu projektu kopa un ar saimniecisku darbību nesaistītu projektu kopa. </w:t>
      </w:r>
      <w:r>
        <w:t>K</w:t>
      </w:r>
      <w:r>
        <w:t xml:space="preserve">atrai </w:t>
      </w:r>
      <w:r>
        <w:t>iz</w:t>
      </w:r>
      <w:r>
        <w:t>lases kopai piemērojot šādus nosacījums:</w:t>
      </w:r>
    </w:p>
    <w:p w:rsidR="002C0ED2" w:rsidP="002C0ED2" w14:paraId="576F3006" w14:textId="77777777">
      <w:pPr>
        <w:pStyle w:val="BulletA"/>
      </w:pPr>
      <w:r>
        <w:t>prioritāri atbalstāms projekta iesniegums, kurš kvalitātes kritēriju vērtējuma kopsummā ir saņēmis lielāku punktu skaitu;</w:t>
      </w:r>
    </w:p>
    <w:p w:rsidR="002C0ED2" w:rsidP="002C0ED2" w14:paraId="5F923124" w14:textId="77777777">
      <w:pPr>
        <w:pStyle w:val="BulletA"/>
      </w:pPr>
      <w:r>
        <w:t>ja vairāku projektu iesniegumu kvalitātes vērtējuma kopsumma ir vienāda, prioritāri atbalstāms projekts, kurš kvalitātes kritērijā "Izcilība" ir saņēmis augstāku vērtējumu;</w:t>
      </w:r>
    </w:p>
    <w:p w:rsidR="00902F78" w:rsidRPr="00846B1F" w:rsidP="002C0ED2" w14:paraId="06741F8D" w14:textId="5E0614F2">
      <w:pPr>
        <w:pStyle w:val="BulletA"/>
      </w:pPr>
      <w:r>
        <w:t>ja vairāku projektu iesniegumu vērtējums kvalitātes kritērijā "Izcilība" ir vienāds, prioritāri atbalstāms projekts, kura rezultāti tieši sekmē Latvijas inovācijas kapacitātes palielināšanos</w:t>
      </w:r>
      <w:r w:rsidRPr="00846B1F">
        <w:t>;</w:t>
      </w:r>
    </w:p>
    <w:p w:rsidR="00625C3A" w:rsidP="00160F57" w14:paraId="568C2450" w14:textId="0A45FFE0">
      <w:pPr>
        <w:pStyle w:val="ListParagraph"/>
      </w:pPr>
      <w:r>
        <w:t>7</w:t>
      </w:r>
      <w:r w:rsidRPr="00846B1F">
        <w:t>. precizēt noteikumus, sniedzot atsauces uz projekta iesniegumam pievienojamajiem pielikumiem sadalījumā pa projektu veidiem</w:t>
      </w:r>
      <w:r>
        <w:t xml:space="preserve">, tai skaitā </w:t>
      </w:r>
      <w:r>
        <w:t>“ </w:t>
      </w:r>
      <w:r w:rsidRPr="0041603D">
        <w:t>Projektā iesaistīto zinātnisko darbinieku noslodze pilna laika ekvivalenta izteiksmē (PLE) projekta īstenošanas periodā</w:t>
      </w:r>
      <w:r>
        <w:t xml:space="preserve">”; </w:t>
      </w:r>
    </w:p>
    <w:p w:rsidR="00B05041" w:rsidP="00160F57" w14:paraId="595A0161" w14:textId="576C31F4">
      <w:pPr>
        <w:pStyle w:val="ListParagraph"/>
        <w:rPr>
          <w:rFonts w:eastAsia="Times New Roman" w:cs="Times New Roman"/>
        </w:rPr>
      </w:pPr>
      <w:r>
        <w:t>8</w:t>
      </w:r>
      <w:r w:rsidRPr="00452345" w:rsidR="002B1F67">
        <w:t>. </w:t>
      </w:r>
      <w:r w:rsidRPr="00452345" w:rsidR="00510724">
        <w:t>harmonizēt noteikumos iekļautās normas saistībā ar sadarbības partneru</w:t>
      </w:r>
      <w:r w:rsidRPr="00452345" w:rsidR="003D58C0">
        <w:t xml:space="preserve"> </w:t>
      </w:r>
      <w:r w:rsidRPr="00452345" w:rsidR="00510724">
        <w:t>iesaisti pētniecības projektā</w:t>
      </w:r>
      <w:r w:rsidRPr="00452345" w:rsidR="003D58C0">
        <w:t xml:space="preserve">, tai skaitā norādot, ka </w:t>
      </w:r>
      <w:r w:rsidRPr="00452345" w:rsidR="002E51D4">
        <w:t xml:space="preserve">1) </w:t>
      </w:r>
      <w:r w:rsidRPr="00452345" w:rsidR="003D58C0">
        <w:t>ārvalsts partnera projekta daļas īstenošanai nepieciešamo finansējumu nodrošina no ārvalsts institūcijas līdzekļiem</w:t>
      </w:r>
      <w:r w:rsidRPr="00452345" w:rsidR="002E51D4">
        <w:t>;</w:t>
      </w:r>
      <w:r w:rsidRPr="00452345" w:rsidR="00510724">
        <w:t xml:space="preserve"> </w:t>
      </w:r>
      <w:r w:rsidRPr="00452345" w:rsidR="002E51D4">
        <w:t>2) katra sadarbības partnera projekta daļas attiecināmās izmaksas veido vismaz 20 procentus no projekta kopējām izmaksām</w:t>
      </w:r>
      <w:r w:rsidRPr="00452345" w:rsidR="00625C3A">
        <w:t xml:space="preserve"> </w:t>
      </w:r>
      <w:r w:rsidRPr="00452345" w:rsidR="00625C3A">
        <w:rPr>
          <w:rFonts w:eastAsia="Times New Roman" w:cs="Times New Roman"/>
        </w:rPr>
        <w:t>(skat. šī ziņojuma 2.5. sadaļas 1</w:t>
      </w:r>
      <w:r w:rsidRPr="00452345" w:rsidR="005B0F41">
        <w:rPr>
          <w:rFonts w:eastAsia="Times New Roman" w:cs="Times New Roman"/>
        </w:rPr>
        <w:t>4</w:t>
      </w:r>
      <w:r w:rsidRPr="00452345" w:rsidR="00625C3A">
        <w:rPr>
          <w:rFonts w:eastAsia="Times New Roman" w:cs="Times New Roman"/>
        </w:rPr>
        <w:t>. punktu)</w:t>
      </w:r>
      <w:r>
        <w:rPr>
          <w:rFonts w:eastAsia="Times New Roman" w:cs="Times New Roman"/>
        </w:rPr>
        <w:t>;</w:t>
      </w:r>
    </w:p>
    <w:p w:rsidR="006816F0" w:rsidP="00160F57" w14:paraId="6CF3CACA" w14:textId="4085109D">
      <w:pPr>
        <w:pStyle w:val="ListParagraph"/>
      </w:pPr>
      <w:r>
        <w:t>9</w:t>
      </w:r>
      <w:r w:rsidRPr="00F77DD2">
        <w:t>.</w:t>
      </w:r>
      <w:r>
        <w:t xml:space="preserve"> papildināt noteikumus, nosakot finansējuma saņēmēja pienākumus:</w:t>
      </w:r>
    </w:p>
    <w:p w:rsidR="006816F0" w:rsidP="00160F57" w14:paraId="22464705" w14:textId="6AD1F82D">
      <w:pPr>
        <w:pStyle w:val="ListParagraph"/>
      </w:pPr>
      <w:r>
        <w:t>9.1. </w:t>
      </w:r>
      <w:r w:rsidR="001523D8">
        <w:t>informēt</w:t>
      </w:r>
      <w:r>
        <w:t xml:space="preserve"> </w:t>
      </w:r>
      <w:r w:rsidRPr="006816F0">
        <w:t>sabiedrīb</w:t>
      </w:r>
      <w:r w:rsidR="001523D8">
        <w:t>u</w:t>
      </w:r>
      <w:r w:rsidRPr="006816F0">
        <w:t xml:space="preserve"> </w:t>
      </w:r>
      <w:r w:rsidR="001523D8">
        <w:t>par</w:t>
      </w:r>
      <w:r>
        <w:t xml:space="preserve"> projekta norisē</w:t>
      </w:r>
      <w:r w:rsidR="001523D8">
        <w:t>m</w:t>
      </w:r>
      <w:r>
        <w:t>;</w:t>
      </w:r>
    </w:p>
    <w:p w:rsidR="004B7242" w:rsidP="00160F57" w14:paraId="59EBF42C" w14:textId="0D50ABFC">
      <w:pPr>
        <w:pStyle w:val="ListParagraph"/>
      </w:pPr>
      <w:r>
        <w:t>9.2. </w:t>
      </w:r>
      <w:r>
        <w:t xml:space="preserve">ar saimniecisku darbību nesaistīta projekta ietvaros nodrošināt studējošo </w:t>
      </w:r>
      <w:r w:rsidR="00C637C6">
        <w:t xml:space="preserve">vai zinātniskā grāda pretendentu </w:t>
      </w:r>
      <w:r>
        <w:t xml:space="preserve">iesaisti projekta īstenošanā, ņemot vērā, ka studējošo </w:t>
      </w:r>
      <w:r w:rsidR="00C637C6">
        <w:t xml:space="preserve">vai zinātniskā grāda pretendentu </w:t>
      </w:r>
      <w:r>
        <w:t>kopējā noslodze visā projekta īstenošanas periodā ir:</w:t>
      </w:r>
    </w:p>
    <w:p w:rsidR="004B7242" w:rsidP="004B7242" w14:paraId="4C0310BA" w14:textId="05D3A8C2">
      <w:pPr>
        <w:pStyle w:val="BulletA"/>
      </w:pPr>
      <w:r>
        <w:t>vismaz divi PLE, ja kopējā zinātnisko darbinieku noslodze visā projekta īstenošanas periodā ir vienāda vai lielāka par astoņiem PLE;</w:t>
      </w:r>
    </w:p>
    <w:p w:rsidR="004B7242" w:rsidP="004B7242" w14:paraId="6631FFC9" w14:textId="5AC19C16">
      <w:pPr>
        <w:pStyle w:val="BulletA"/>
      </w:pPr>
      <w:r>
        <w:t>25 procenti no kopējās zinātnisko darbinieku noslodzes visā projekta īstenošanas periodā, ja kopējā zinātnisko darbinieku noslodze visā projekta īstenošanas periodā ir mazāka par astoņiem PLE;</w:t>
      </w:r>
    </w:p>
    <w:p w:rsidR="003D58C0" w:rsidRPr="00F77DD2" w:rsidP="00160F57" w14:paraId="7D1F48DB" w14:textId="10CD7F6D">
      <w:pPr>
        <w:pStyle w:val="ListParagraph"/>
      </w:pPr>
      <w:r w:rsidRPr="009474EB">
        <w:rPr>
          <w:rFonts w:eastAsia="Times New Roman" w:cs="Times New Roman"/>
        </w:rPr>
        <w:t>1</w:t>
      </w:r>
      <w:r w:rsidR="004B7242">
        <w:rPr>
          <w:rFonts w:eastAsia="Times New Roman" w:cs="Times New Roman"/>
        </w:rPr>
        <w:t>0</w:t>
      </w:r>
      <w:r w:rsidRPr="009474EB">
        <w:rPr>
          <w:rFonts w:eastAsia="Times New Roman" w:cs="Times New Roman"/>
        </w:rPr>
        <w:t>.</w:t>
      </w:r>
      <w:r w:rsidRPr="00F77DD2">
        <w:t> </w:t>
      </w:r>
      <w:r w:rsidR="004B7242">
        <w:t xml:space="preserve">precizēt noteikumu 57. punktu un </w:t>
      </w:r>
      <w:r w:rsidRPr="00F77DD2">
        <w:t>aktualizēt 8. pielikumu “Pētījuma projekta īstenošanā iesaistītā darbinieka kopējā darba laika un paveiktā darba uzskaites veidlapa“</w:t>
      </w:r>
      <w:r w:rsidR="004B7242">
        <w:t>, nodrošinot normu savstarpēju atbilstību un vienkāršo</w:t>
      </w:r>
      <w:r w:rsidR="00C637C6">
        <w:t>jot</w:t>
      </w:r>
      <w:r w:rsidR="004B7242">
        <w:t xml:space="preserve"> darba laika uzskaites formu</w:t>
      </w:r>
      <w:r w:rsidRPr="00F77DD2" w:rsidR="00625C3A">
        <w:t>.</w:t>
      </w:r>
    </w:p>
    <w:p w:rsidR="00DC4431" w:rsidP="007838D5" w14:paraId="343AE2AF" w14:textId="77777777">
      <w:pPr>
        <w:pStyle w:val="Heading3"/>
      </w:pPr>
      <w:bookmarkStart w:id="136" w:name="_Toc494727614"/>
      <w:bookmarkStart w:id="137" w:name="_Toc499019528"/>
      <w:bookmarkStart w:id="138" w:name="_Toc505086384"/>
      <w:bookmarkStart w:id="139" w:name="_Toc256000022"/>
      <w:bookmarkStart w:id="140" w:name="_Toc256000049"/>
      <w:r>
        <w:t>3.2.2. </w:t>
      </w:r>
      <w:r>
        <w:t>MK noteikumi Nr. 50</w:t>
      </w:r>
      <w:bookmarkEnd w:id="140"/>
      <w:bookmarkEnd w:id="139"/>
      <w:bookmarkEnd w:id="136"/>
      <w:bookmarkEnd w:id="137"/>
      <w:bookmarkEnd w:id="138"/>
    </w:p>
    <w:p w:rsidR="00DC4431" w:rsidP="00DC4431" w14:paraId="5217276B" w14:textId="77777777">
      <w:pPr>
        <w:rPr>
          <w:lang w:eastAsia="lv-LV"/>
        </w:rPr>
      </w:pPr>
      <w:r>
        <w:rPr>
          <w:lang w:eastAsia="lv-LV"/>
        </w:rPr>
        <w:t xml:space="preserve">Ņemot vērā </w:t>
      </w:r>
      <w:r w:rsidR="002A414E">
        <w:rPr>
          <w:lang w:eastAsia="lv-LV"/>
        </w:rPr>
        <w:t xml:space="preserve">Pēcdoktorantūras pētījumu programmas </w:t>
      </w:r>
      <w:r>
        <w:rPr>
          <w:lang w:eastAsia="lv-LV"/>
        </w:rPr>
        <w:t xml:space="preserve"> pirmās projektu iesniegumu atlases kārtas ieviešanas analīzes rezultātus, </w:t>
      </w:r>
      <w:r w:rsidR="00465130">
        <w:rPr>
          <w:lang w:eastAsia="lv-LV"/>
        </w:rPr>
        <w:t>plānots</w:t>
      </w:r>
      <w:r>
        <w:rPr>
          <w:lang w:eastAsia="lv-LV"/>
        </w:rPr>
        <w:t xml:space="preserve"> veikt šādus grozījumus MK noteikumos Nr. </w:t>
      </w:r>
      <w:r w:rsidR="00512DEF">
        <w:rPr>
          <w:lang w:eastAsia="lv-LV"/>
        </w:rPr>
        <w:t>50</w:t>
      </w:r>
      <w:r>
        <w:rPr>
          <w:rStyle w:val="FootnoteReference"/>
          <w:lang w:eastAsia="lv-LV"/>
        </w:rPr>
        <w:footnoteReference w:id="19"/>
      </w:r>
      <w:r>
        <w:rPr>
          <w:lang w:eastAsia="lv-LV"/>
        </w:rPr>
        <w:t>:</w:t>
      </w:r>
    </w:p>
    <w:p w:rsidR="001523D8" w:rsidP="00160F57" w14:paraId="5D501786" w14:textId="77777777">
      <w:pPr>
        <w:pStyle w:val="ListParagraph"/>
      </w:pPr>
      <w:r>
        <w:t>1.  papildināt noteikumus ar termin</w:t>
      </w:r>
      <w:r>
        <w:t>iem</w:t>
      </w:r>
      <w:r>
        <w:t xml:space="preserve">: </w:t>
      </w:r>
    </w:p>
    <w:p w:rsidR="004B7242" w:rsidRPr="00F77DD2" w:rsidP="004B7242" w14:paraId="2178FF41" w14:textId="4A1C3697">
      <w:pPr>
        <w:ind w:firstLine="357"/>
      </w:pPr>
      <w:r>
        <w:t>1</w:t>
      </w:r>
      <w:r w:rsidRPr="00F77DD2">
        <w:t>.1. jaunu pētnieku skaits atbalstītajās vienībās – tādu pētniecības projekta ietvaros piesaistīt</w:t>
      </w:r>
      <w:r>
        <w:t>ā</w:t>
      </w:r>
      <w:r w:rsidRPr="00F77DD2">
        <w:t xml:space="preserve"> </w:t>
      </w:r>
      <w:r>
        <w:t>zinātniskā personāla un zinātnes tehniskā personāla</w:t>
      </w:r>
      <w:r w:rsidRPr="00F77DD2">
        <w:t xml:space="preserve"> skaits pilna laika ekvivalenta izteiksmē (turpmāk – PLE):</w:t>
      </w:r>
    </w:p>
    <w:p w:rsidR="004B7242" w:rsidP="004B7242" w14:paraId="39E536A2" w14:textId="77777777">
      <w:pPr>
        <w:pStyle w:val="BulletF"/>
      </w:pPr>
      <w:r>
        <w:t>kas tieši iesaistīti pētniecības īstenošanā – zinātniskais personāls un zinātnes tehniskais personāls;</w:t>
      </w:r>
    </w:p>
    <w:p w:rsidR="004B7242" w:rsidRPr="00F77DD2" w:rsidP="004B7242" w14:paraId="296DAC69" w14:textId="01D6F3AA">
      <w:pPr>
        <w:pStyle w:val="BulletF"/>
      </w:pPr>
      <w:r w:rsidRPr="00F77DD2">
        <w:t xml:space="preserve">kuru piesaistes rezultātā </w:t>
      </w:r>
      <w:r>
        <w:t>institūcijā: izveido zinātniskā personāla vai zinātnes tehniskā personāla (jaun</w:t>
      </w:r>
      <w:r w:rsidR="006B4986">
        <w:t>s</w:t>
      </w:r>
      <w:r>
        <w:t xml:space="preserve"> pētniek</w:t>
      </w:r>
      <w:r w:rsidR="006B4986">
        <w:t>s</w:t>
      </w:r>
      <w:r>
        <w:t xml:space="preserve">) amata vietu un </w:t>
      </w:r>
      <w:r w:rsidRPr="00F77DD2">
        <w:t xml:space="preserve">palielinās kopējais </w:t>
      </w:r>
      <w:r>
        <w:t>pētniecībā</w:t>
      </w:r>
      <w:r w:rsidRPr="00F77DD2">
        <w:t xml:space="preserve"> nodarbināto </w:t>
      </w:r>
      <w:r>
        <w:t>personu</w:t>
      </w:r>
      <w:r w:rsidRPr="00F77DD2">
        <w:t xml:space="preserve"> skaits</w:t>
      </w:r>
      <w:r>
        <w:t xml:space="preserve">; </w:t>
      </w:r>
    </w:p>
    <w:p w:rsidR="00DE428F" w:rsidRPr="00DE428F" w:rsidP="00DE428F" w14:paraId="3D8C8101" w14:textId="2C61A20A">
      <w:pPr>
        <w:ind w:firstLine="357"/>
      </w:pPr>
      <w:r>
        <w:t>1.2. </w:t>
      </w:r>
      <w:r w:rsidRPr="00DE428F">
        <w:t xml:space="preserve">jaunu produktu un tehnoloģiju skaits, kas ir komercializējamas – projekta ietvaros izstrādāto prototipu skaits, ja piecu gadu laikā pēc pēdējā maksājuma veikšanas nodrošina </w:t>
      </w:r>
      <w:r w:rsidR="004A0A1B">
        <w:t>projekta rezultātu</w:t>
      </w:r>
      <w:r w:rsidRPr="00DE428F">
        <w:t xml:space="preserve"> ilgtspēju, sniedzot ieguldījumu inovācijas sistēmas attīstībā atbilstoši vienam vai vairākiem ieguldījumu veidiem:</w:t>
      </w:r>
    </w:p>
    <w:p w:rsidR="00DE428F" w:rsidRPr="00DE428F" w:rsidP="00DE428F" w14:paraId="523DE37F" w14:textId="77777777">
      <w:pPr>
        <w:pStyle w:val="BulletF"/>
        <w:rPr>
          <w:rFonts w:eastAsiaTheme="minorEastAsia" w:cstheme="minorBidi"/>
          <w:szCs w:val="21"/>
          <w:lang w:eastAsia="en-US" w:bidi="ar-SA"/>
        </w:rPr>
      </w:pPr>
      <w:r w:rsidRPr="00DE428F">
        <w:rPr>
          <w:rFonts w:eastAsiaTheme="minorEastAsia" w:cstheme="minorBidi"/>
          <w:szCs w:val="21"/>
          <w:lang w:eastAsia="en-US" w:bidi="ar-SA"/>
        </w:rPr>
        <w:t>aizsargā tehnoloģiju tiesības, kas saistītas ar prototipu;</w:t>
      </w:r>
    </w:p>
    <w:p w:rsidR="00DE428F" w:rsidRPr="00DE428F" w:rsidP="00DE428F" w14:paraId="2B4D5AB3" w14:textId="77777777">
      <w:pPr>
        <w:pStyle w:val="BulletF"/>
        <w:rPr>
          <w:rFonts w:eastAsiaTheme="minorEastAsia" w:cstheme="minorBidi"/>
          <w:szCs w:val="21"/>
          <w:lang w:eastAsia="en-US" w:bidi="ar-SA"/>
        </w:rPr>
      </w:pPr>
      <w:r w:rsidRPr="00DE428F">
        <w:rPr>
          <w:rFonts w:eastAsiaTheme="minorEastAsia" w:cstheme="minorBidi"/>
          <w:szCs w:val="21"/>
          <w:lang w:eastAsia="en-US" w:bidi="ar-SA"/>
        </w:rPr>
        <w:t>slēdz intelektuālā īpašuma licences līgumu;</w:t>
      </w:r>
    </w:p>
    <w:p w:rsidR="004B7242" w:rsidRPr="00DE428F" w:rsidP="00DE428F" w14:paraId="3572CBA8" w14:textId="4BAAD0E9">
      <w:pPr>
        <w:pStyle w:val="BulletF"/>
        <w:rPr>
          <w:rFonts w:eastAsiaTheme="minorEastAsia" w:cstheme="minorBidi"/>
          <w:szCs w:val="21"/>
          <w:lang w:eastAsia="en-US" w:bidi="ar-SA"/>
        </w:rPr>
      </w:pPr>
      <w:r w:rsidRPr="00DE428F">
        <w:rPr>
          <w:rFonts w:eastAsiaTheme="minorEastAsia" w:cstheme="minorBidi"/>
          <w:szCs w:val="21"/>
          <w:lang w:eastAsia="en-US" w:bidi="ar-SA"/>
        </w:rPr>
        <w:t>pilnveido projekta ietvaros izstrādāto prototipu, lai ieviestu ražo</w:t>
      </w:r>
      <w:r>
        <w:rPr>
          <w:rFonts w:eastAsiaTheme="minorEastAsia" w:cstheme="minorBidi"/>
          <w:szCs w:val="21"/>
          <w:lang w:eastAsia="en-US" w:bidi="ar-SA"/>
        </w:rPr>
        <w:t>šanā vai pakalpojumu sniegšanā;</w:t>
      </w:r>
    </w:p>
    <w:p w:rsidR="00C637C6" w:rsidRPr="00F77DD2" w:rsidP="00160F57" w14:paraId="6CB1AAB6" w14:textId="4BD57A23">
      <w:r>
        <w:t>1.3. projekta dzīves cikls</w:t>
      </w:r>
      <w:r w:rsidR="006B4986">
        <w:t xml:space="preserve"> – </w:t>
      </w:r>
      <w:r w:rsidRPr="006B4986" w:rsidR="006B4986">
        <w:t>projekta ekonomiski derīgais laikposms, kurā ir iespējams gūt finansiālu vai ekonomisku labumu no projektā ieguldītajiem līdzekļiem vai radītajiem aktīviem</w:t>
      </w:r>
      <w:r w:rsidR="006B4986">
        <w:t>;</w:t>
      </w:r>
    </w:p>
    <w:p w:rsidR="00793375" w:rsidRPr="00F77DD2" w:rsidP="00160F57" w14:paraId="1FC1F444" w14:textId="706FC157">
      <w:pPr>
        <w:pStyle w:val="ListParagraph"/>
      </w:pPr>
      <w:r w:rsidRPr="00F77DD2">
        <w:t xml:space="preserve">2. precizēt terminu </w:t>
      </w:r>
      <w:r w:rsidR="00AD2295">
        <w:t>“</w:t>
      </w:r>
      <w:r w:rsidRPr="00F77DD2">
        <w:t>pēcdoktorants</w:t>
      </w:r>
      <w:r w:rsidR="00AD2295">
        <w:t>”</w:t>
      </w:r>
      <w:r w:rsidRPr="00F77DD2">
        <w:t>, paredzot, ka pēcdoktorants ir Latvijas vai ārvalstu zinātnieks, kas doktora grādu ieguvis ne agrāk kā septiņus gadus pirms pētniecības pieteikuma iesniegšanas termiņa;</w:t>
      </w:r>
    </w:p>
    <w:p w:rsidR="007F587C" w:rsidP="00160F57" w14:paraId="6EC48B79" w14:textId="193A74E6">
      <w:pPr>
        <w:pStyle w:val="ListParagraph"/>
      </w:pPr>
      <w:r>
        <w:t>3</w:t>
      </w:r>
      <w:r>
        <w:t xml:space="preserve">. samazināt </w:t>
      </w:r>
      <w:r w:rsidRPr="003E02FF">
        <w:t>fundamentālie</w:t>
      </w:r>
      <w:r>
        <w:t>m</w:t>
      </w:r>
      <w:r w:rsidRPr="003E02FF">
        <w:t xml:space="preserve"> pētījumiem </w:t>
      </w:r>
      <w:r w:rsidR="00F07FC2">
        <w:t xml:space="preserve">attiecīgajā atlases kārtā </w:t>
      </w:r>
      <w:r w:rsidRPr="003E02FF">
        <w:t>pieejam</w:t>
      </w:r>
      <w:r>
        <w:t>o</w:t>
      </w:r>
      <w:r w:rsidRPr="003E02FF">
        <w:t xml:space="preserve"> publiskā finansējuma kvot</w:t>
      </w:r>
      <w:r>
        <w:t>u</w:t>
      </w:r>
      <w:r w:rsidR="00025787">
        <w:t xml:space="preserve"> </w:t>
      </w:r>
      <w:r w:rsidR="00691358">
        <w:t xml:space="preserve">no 20 procentiem </w:t>
      </w:r>
      <w:r w:rsidR="00025787">
        <w:t>līdz 10 procentiem</w:t>
      </w:r>
      <w:r w:rsidR="00691358">
        <w:t xml:space="preserve"> </w:t>
      </w:r>
      <w:r w:rsidRPr="00C637C6" w:rsidR="00691358">
        <w:t xml:space="preserve">no </w:t>
      </w:r>
      <w:r w:rsidRPr="00C637C6" w:rsidR="004B7242">
        <w:t xml:space="preserve">turpmākajās atlases kārtās </w:t>
      </w:r>
      <w:r w:rsidRPr="00C637C6" w:rsidR="00691358">
        <w:t>ar saimniecisku darbību nesaistītiem projektiem pieejamā kopējā publiskā finansējuma</w:t>
      </w:r>
      <w:r>
        <w:t>, lai sekmētu SAM 1.1.1. iznākuma rādītāju izpildi</w:t>
      </w:r>
      <w:r w:rsidRPr="003E02FF">
        <w:t xml:space="preserve">, tai skaitā: </w:t>
      </w:r>
      <w:r>
        <w:t>p</w:t>
      </w:r>
      <w:r w:rsidRPr="005F696A">
        <w:t>rivātās investīcijas, kas papildina valsts atbalstu inovācijām vai pētniecības un izstrādes projektiem</w:t>
      </w:r>
      <w:r>
        <w:t xml:space="preserve">, komersantu skaits, kas sadarbojas ar pētniecības organizācijām </w:t>
      </w:r>
      <w:r>
        <w:rPr>
          <w:rFonts w:eastAsia="Times New Roman" w:cs="Times New Roman"/>
        </w:rPr>
        <w:t xml:space="preserve">(skat. šī ziņojuma 2.5. sadaļas </w:t>
      </w:r>
      <w:r w:rsidR="00025787">
        <w:rPr>
          <w:rFonts w:eastAsia="Times New Roman" w:cs="Times New Roman"/>
        </w:rPr>
        <w:t>3</w:t>
      </w:r>
      <w:r>
        <w:rPr>
          <w:rFonts w:eastAsia="Times New Roman" w:cs="Times New Roman"/>
        </w:rPr>
        <w:t>.punktu)</w:t>
      </w:r>
      <w:r>
        <w:t>;</w:t>
      </w:r>
    </w:p>
    <w:p w:rsidR="00924AD9" w:rsidRPr="00F77DD2" w:rsidP="00160F57" w14:paraId="052798B2" w14:textId="77777777">
      <w:pPr>
        <w:pStyle w:val="ListParagraph"/>
      </w:pPr>
      <w:r w:rsidRPr="00F77DD2">
        <w:t>4</w:t>
      </w:r>
      <w:r w:rsidRPr="00F77DD2">
        <w:t xml:space="preserve">. svītrot 25.3. apakšpunktu, izslēdzot nepieciešamību pētniecības pieteikumam pievienot komersanta vai komersantu koleģiālas institūcijas atzinumu, kas pamato konkrētā pētniecības </w:t>
      </w:r>
      <w:r w:rsidRPr="00F77DD2">
        <w:t xml:space="preserve">pieteikuma ietvaros veicamā pētījuma nozīmību attiecīgās zinātnes vai tautsaimniecības nozares, vai komersanta attīstībai (skat. ziņojuma </w:t>
      </w:r>
      <w:r w:rsidRPr="00F77DD2" w:rsidR="00922941">
        <w:t>2.5. sadaļas 4. punktu)</w:t>
      </w:r>
      <w:r w:rsidRPr="00F77DD2">
        <w:t xml:space="preserve">; </w:t>
      </w:r>
    </w:p>
    <w:p w:rsidR="00EE69C3" w:rsidRPr="00EE69C3" w:rsidP="00160F57" w14:paraId="47111E44" w14:textId="647C78C0">
      <w:pPr>
        <w:pStyle w:val="ListParagraph"/>
      </w:pPr>
      <w:r>
        <w:t>5</w:t>
      </w:r>
      <w:r w:rsidR="0084286D">
        <w:t>. </w:t>
      </w:r>
      <w:r w:rsidR="001E63D3">
        <w:t>Praktiskas ievirzes pētījumu programmas</w:t>
      </w:r>
      <w:r w:rsidR="00C35F67">
        <w:t xml:space="preserve"> ietvaros noteikts, ka </w:t>
      </w:r>
      <w:r w:rsidRPr="00BA7458" w:rsidR="00C35F67">
        <w:t>rezultāta rādītāj</w:t>
      </w:r>
      <w:r w:rsidR="00C35F67">
        <w:t>u</w:t>
      </w:r>
      <w:r w:rsidRPr="00BA7458" w:rsidR="00C35F67">
        <w:t xml:space="preserve"> </w:t>
      </w:r>
      <w:r w:rsidR="00C35F67">
        <w:t xml:space="preserve">– </w:t>
      </w:r>
      <w:r w:rsidRPr="00EE69C3" w:rsidR="00C35F67">
        <w:t>vidējais zinātnisko publikāciju skaits uz vienu zinātniskā personāla pilna darba laika ekvivalentu skaits gadā un iznākuma rādītāja zinātnisko rakstu skaits, kuru izstrādei un publicēšanai ir sniegts atbalsts</w:t>
      </w:r>
      <w:r w:rsidRPr="00463FAA" w:rsidR="00C35F67">
        <w:t xml:space="preserve"> (i.1.1.1.e</w:t>
      </w:r>
      <w:r w:rsidR="00C35F67">
        <w:t xml:space="preserve"> ) – </w:t>
      </w:r>
      <w:r w:rsidRPr="00C35F67" w:rsidR="00C35F67">
        <w:t xml:space="preserve">nosaka, ņemot vērā </w:t>
      </w:r>
      <w:r>
        <w:t xml:space="preserve">šādas </w:t>
      </w:r>
      <w:r w:rsidRPr="00C35F67" w:rsidR="00C35F67">
        <w:t>publikācijas</w:t>
      </w:r>
      <w:r>
        <w:t>: 1)</w:t>
      </w:r>
      <w:r w:rsidRPr="00EE69C3">
        <w:t xml:space="preserve"> oriģināli zinātniskie raksti, kas publicēti žurnālos vai konferenču rakstu krājumos, kuru citēšanas indekss sasniedz vismaz 50 procentus no nozares vidējā citēšanas indeksa un 2) oriģināli zinātniskie raksti, kas publicēti </w:t>
      </w:r>
      <w:r w:rsidRPr="00D34572">
        <w:t xml:space="preserve">Web of Science </w:t>
      </w:r>
      <w:r w:rsidRPr="001346F7">
        <w:t>vai</w:t>
      </w:r>
      <w:r w:rsidRPr="00D34572">
        <w:t xml:space="preserve"> SCOPUS</w:t>
      </w:r>
      <w:r w:rsidRPr="00EE69C3">
        <w:t xml:space="preserve"> (A vai B) datubāzēs iekļautos žurnālos vai konferenču rakstu krājumos;</w:t>
      </w:r>
    </w:p>
    <w:p w:rsidR="00463FAA" w:rsidRPr="00A73FEB" w:rsidP="00160F57" w14:paraId="01755D2A" w14:textId="2CF4EFEA">
      <w:pPr>
        <w:pStyle w:val="ListParagraph"/>
      </w:pPr>
      <w:r>
        <w:t>L</w:t>
      </w:r>
      <w:r w:rsidRPr="00BA7458" w:rsidR="0084286D">
        <w:t xml:space="preserve">ai </w:t>
      </w:r>
      <w:r>
        <w:t>harmonizētu</w:t>
      </w:r>
      <w:r w:rsidRPr="00BA7458" w:rsidR="0084286D">
        <w:t xml:space="preserve"> </w:t>
      </w:r>
      <w:r w:rsidR="00304C7D">
        <w:t>kopēj</w:t>
      </w:r>
      <w:r w:rsidR="0023121F">
        <w:t>ā</w:t>
      </w:r>
      <w:r w:rsidR="00304C7D">
        <w:t xml:space="preserve"> </w:t>
      </w:r>
      <w:r w:rsidRPr="00BA7458" w:rsidR="0084286D">
        <w:t xml:space="preserve">SAM </w:t>
      </w:r>
      <w:r w:rsidR="0054181B">
        <w:t xml:space="preserve">1.1.1. </w:t>
      </w:r>
      <w:r w:rsidR="00304C7D">
        <w:t xml:space="preserve">pasākumu </w:t>
      </w:r>
      <w:r w:rsidR="00EE69C3">
        <w:t>rādītāju</w:t>
      </w:r>
      <w:r w:rsidR="00C35F67">
        <w:rPr>
          <w:i/>
        </w:rPr>
        <w:t xml:space="preserve"> </w:t>
      </w:r>
      <w:r w:rsidR="0054181B">
        <w:t xml:space="preserve">noteikšanas metodoloģiju </w:t>
      </w:r>
      <w:r w:rsidR="00304C7D">
        <w:t>visu</w:t>
      </w:r>
      <w:r w:rsidR="0054181B">
        <w:t xml:space="preserve"> SAM 1.1.1. pasākumu ietvaros</w:t>
      </w:r>
      <w:r w:rsidR="00304C7D">
        <w:t xml:space="preserve"> (tajā skaitā 1.1.1.5. pasākums)</w:t>
      </w:r>
      <w:r w:rsidRPr="00BA7458" w:rsidR="0084286D">
        <w:t xml:space="preserve">, noteikt, ka </w:t>
      </w:r>
      <w:r w:rsidR="002A414E">
        <w:t xml:space="preserve">Pēcdoktorantūras pētījumu programmas </w:t>
      </w:r>
      <w:r w:rsidR="004653A3">
        <w:t xml:space="preserve">otrās un turpmāko atlases kārtu </w:t>
      </w:r>
      <w:r w:rsidR="001445F5">
        <w:t>ietvaros</w:t>
      </w:r>
      <w:r w:rsidRPr="00BA7458" w:rsidR="0084286D">
        <w:t xml:space="preserve"> </w:t>
      </w:r>
      <w:r w:rsidR="00EE69C3">
        <w:t>publikāciju</w:t>
      </w:r>
      <w:r>
        <w:t xml:space="preserve"> uzskaitē ņem vērā </w:t>
      </w:r>
      <w:r w:rsidR="00EE69C3">
        <w:t>šādas publikācijas</w:t>
      </w:r>
      <w:r w:rsidRPr="00BA7458" w:rsidR="0084286D">
        <w:t xml:space="preserve">: </w:t>
      </w:r>
    </w:p>
    <w:p w:rsidR="00463FAA" w:rsidRPr="00C637C6" w:rsidP="00463FAA" w14:paraId="0E83D646" w14:textId="1354330F">
      <w:pPr>
        <w:pStyle w:val="BulletA"/>
      </w:pPr>
      <w:r w:rsidRPr="00C637C6">
        <w:rPr>
          <w:szCs w:val="22"/>
        </w:rPr>
        <w:t>oriģināli zinātniskie raksti, kas publicēti žurnālos vai konferenču rakstu krājumos, kuru citēšanas indekss sasniedz vismaz 50 procentus no nozares vidējā citēšanas indeksa</w:t>
      </w:r>
      <w:r w:rsidRPr="00C637C6">
        <w:t>;</w:t>
      </w:r>
    </w:p>
    <w:p w:rsidR="00E23EF8" w:rsidRPr="00C637C6" w:rsidP="00EE69C3" w14:paraId="665D852D" w14:textId="751C20F4">
      <w:pPr>
        <w:pStyle w:val="BulletA"/>
      </w:pPr>
      <w:r w:rsidRPr="00C637C6">
        <w:rPr>
          <w:szCs w:val="22"/>
        </w:rPr>
        <w:t>oriģināli zinātniskie raksti, kas publicēti Web of Science vai SCOPUS (A vai B) datubāzēs iekļautos žurnālos vai konferenču rakstu krājumos</w:t>
      </w:r>
      <w:r w:rsidRPr="00C637C6" w:rsidR="00463FAA">
        <w:t>;</w:t>
      </w:r>
    </w:p>
    <w:p w:rsidR="008E2B0E" w:rsidP="00160F57" w14:paraId="486275C6" w14:textId="515409F7">
      <w:pPr>
        <w:pStyle w:val="ListParagraph"/>
      </w:pPr>
      <w:r>
        <w:t>6</w:t>
      </w:r>
      <w:r>
        <w:t xml:space="preserve">. precizēt </w:t>
      </w:r>
      <w:r w:rsidRPr="00915962" w:rsidR="00B03EF3">
        <w:t>9.</w:t>
      </w:r>
      <w:r w:rsidR="00B03EF3">
        <w:t xml:space="preserve"> un </w:t>
      </w:r>
      <w:r>
        <w:t>42.</w:t>
      </w:r>
      <w:r w:rsidR="00871474">
        <w:t xml:space="preserve"> </w:t>
      </w:r>
      <w:r>
        <w:t xml:space="preserve">punktu, paredzot papildu nacionālā līdzfinansējuma avotu: </w:t>
      </w:r>
      <w:r w:rsidR="00A26E0A">
        <w:t>“</w:t>
      </w:r>
      <w:r w:rsidR="00625C3A">
        <w:t>cits publiskais finansējums” (skat. šī ziņojuma 2.5. sadaļas 1</w:t>
      </w:r>
      <w:r w:rsidR="00347EFC">
        <w:t>7</w:t>
      </w:r>
      <w:r w:rsidR="00625C3A">
        <w:t>. punktu)</w:t>
      </w:r>
      <w:r>
        <w:t>;</w:t>
      </w:r>
    </w:p>
    <w:p w:rsidR="00B11635" w:rsidP="00160F57" w14:paraId="044D05E0" w14:textId="77777777">
      <w:pPr>
        <w:pStyle w:val="ListParagraph"/>
      </w:pPr>
      <w:r>
        <w:t>7</w:t>
      </w:r>
      <w:r>
        <w:t>. </w:t>
      </w:r>
      <w:r w:rsidR="00C22612">
        <w:t xml:space="preserve">papildināt noteikumus, nosakot </w:t>
      </w:r>
      <w:r w:rsidRPr="003133F4" w:rsidR="00C22612">
        <w:t xml:space="preserve">zinātniskā konsultanta funkcijas </w:t>
      </w:r>
      <w:r w:rsidR="00C22612">
        <w:t xml:space="preserve">pēcdoktoranta pētniecības pieteikuma īstenošanā. </w:t>
      </w:r>
      <w:r w:rsidR="00347EFC">
        <w:t xml:space="preserve">MK noteikumi paredz, ka </w:t>
      </w:r>
      <w:r w:rsidRPr="00347EFC" w:rsidR="00347EFC">
        <w:t>pēcdoktorant</w:t>
      </w:r>
      <w:r w:rsidR="00347EFC">
        <w:t>s</w:t>
      </w:r>
      <w:r w:rsidRPr="00347EFC" w:rsidR="00347EFC">
        <w:t xml:space="preserve"> </w:t>
      </w:r>
      <w:r w:rsidR="00347EFC">
        <w:t xml:space="preserve">pētniecību veic institūcijas Attīstības stratēģijā noteiktā </w:t>
      </w:r>
      <w:r w:rsidR="00C22612">
        <w:t>zinātnes</w:t>
      </w:r>
      <w:r w:rsidRPr="00347EFC" w:rsidR="00347EFC">
        <w:t xml:space="preserve"> virzien</w:t>
      </w:r>
      <w:r w:rsidR="00347EFC">
        <w:t>ā</w:t>
      </w:r>
      <w:r w:rsidR="00C22612">
        <w:t xml:space="preserve">, bet viennozīmīgi nenosaka </w:t>
      </w:r>
      <w:r w:rsidRPr="00347EFC" w:rsidR="00347EFC">
        <w:t xml:space="preserve"> zinātnisk</w:t>
      </w:r>
      <w:r w:rsidR="00D7624E">
        <w:t>ajam</w:t>
      </w:r>
      <w:r w:rsidRPr="00347EFC" w:rsidR="00347EFC">
        <w:t xml:space="preserve"> konsultant</w:t>
      </w:r>
      <w:r w:rsidR="00D7624E">
        <w:t>am</w:t>
      </w:r>
      <w:r w:rsidRPr="00347EFC" w:rsidR="00347EFC">
        <w:t xml:space="preserve"> (vadītāj</w:t>
      </w:r>
      <w:r w:rsidR="00D7624E">
        <w:t>am</w:t>
      </w:r>
      <w:r w:rsidRPr="00347EFC" w:rsidR="00347EFC">
        <w:t>)</w:t>
      </w:r>
      <w:r w:rsidR="00C22612">
        <w:t xml:space="preserve"> </w:t>
      </w:r>
      <w:r w:rsidR="00D7624E">
        <w:t>izvirzītās prasības un tā lomu pēcdoktoranta īstenotās pētniecības vadībā</w:t>
      </w:r>
      <w:r>
        <w:t>;</w:t>
      </w:r>
    </w:p>
    <w:p w:rsidR="00B05038" w:rsidP="00160F57" w14:paraId="19E706CB" w14:textId="581CD8F9">
      <w:pPr>
        <w:pStyle w:val="ListParagraph"/>
      </w:pPr>
      <w:r>
        <w:t>8</w:t>
      </w:r>
      <w:r w:rsidR="00B11635">
        <w:t>.</w:t>
      </w:r>
      <w:r w:rsidR="0028691D">
        <w:t> </w:t>
      </w:r>
      <w:r w:rsidRPr="008824AF" w:rsidR="008824AF">
        <w:t>papildināt noteikumus, paplašinot atbalstāmo pēcdoktorantu kompetenču pilnveides pasākumu klāstu, kas sekmē pēcdoktoranta karjeras izaugsmi, paredzot bakalauru, maģistru un doktoru darbu vadīšanu un pētniecības vai inovācijas projektu sagatavošanu iesniegšanai starptautisko projektu konkursos, piem., Eiropas Savienības pētniecības un inovācijas pamatprogrammā “Apvārsnis 2020” vai 9.IP, kas ir saistīts ar pēcdoktoranta pētniecības pieteikuma tēmu un nodrošina zinātniskā virziena tālāku attīstību</w:t>
      </w:r>
      <w:r>
        <w:t>;</w:t>
      </w:r>
    </w:p>
    <w:p w:rsidR="001B1854" w:rsidRPr="003F1A8B" w:rsidP="00160F57" w14:paraId="4EFC57DC" w14:textId="77777777">
      <w:pPr>
        <w:pStyle w:val="ListParagraph"/>
      </w:pPr>
      <w:r>
        <w:t>9</w:t>
      </w:r>
      <w:r w:rsidRPr="003F1A8B" w:rsidR="00B05038">
        <w:t>.</w:t>
      </w:r>
      <w:r w:rsidRPr="003F1A8B" w:rsidR="0084286D">
        <w:t> </w:t>
      </w:r>
      <w:r w:rsidRPr="003F1A8B" w:rsidR="00264307">
        <w:t xml:space="preserve">papildināt noteikumus, </w:t>
      </w:r>
      <w:r w:rsidRPr="003F1A8B" w:rsidR="00BB23C6">
        <w:t>nosakot</w:t>
      </w:r>
      <w:r w:rsidRPr="003F1A8B" w:rsidR="00264307">
        <w:t xml:space="preserve"> partner</w:t>
      </w:r>
      <w:r w:rsidRPr="003F1A8B" w:rsidR="00BB23C6">
        <w:t xml:space="preserve">ības veidus, partneru kompetenču un atbildības sadalījumu, kā arī līdzdalības </w:t>
      </w:r>
      <w:r w:rsidRPr="003F1A8B" w:rsidR="003F1A8B">
        <w:t xml:space="preserve">projekta īstenošanā </w:t>
      </w:r>
      <w:r w:rsidRPr="003F1A8B" w:rsidR="00463FAA">
        <w:t>formas</w:t>
      </w:r>
      <w:r w:rsidRPr="003F1A8B">
        <w:t>;</w:t>
      </w:r>
    </w:p>
    <w:p w:rsidR="001523D8" w:rsidP="00160F57" w14:paraId="41C38304" w14:textId="77777777">
      <w:pPr>
        <w:pStyle w:val="ListParagraph"/>
      </w:pPr>
      <w:r>
        <w:t>10</w:t>
      </w:r>
      <w:r w:rsidRPr="006F65E3" w:rsidR="001B1854">
        <w:t>.</w:t>
      </w:r>
      <w:r w:rsidR="00347EFC">
        <w:t> </w:t>
      </w:r>
      <w:r w:rsidRPr="006F65E3" w:rsidR="007D2F1B">
        <w:t xml:space="preserve">lai sekmētu iznākuma rādītāju izpildi, </w:t>
      </w:r>
      <w:r w:rsidRPr="006F65E3" w:rsidR="001B1854">
        <w:t xml:space="preserve">paredzēt, ka </w:t>
      </w:r>
      <w:r w:rsidRPr="008005B1" w:rsidR="006F65E3">
        <w:t xml:space="preserve">pētniecības pieteikumu </w:t>
      </w:r>
      <w:r w:rsidR="006F65E3">
        <w:t xml:space="preserve">īstenošanu </w:t>
      </w:r>
      <w:r w:rsidRPr="008005B1" w:rsidR="006F65E3">
        <w:t>uzsā</w:t>
      </w:r>
      <w:r w:rsidR="006F65E3">
        <w:t>k</w:t>
      </w:r>
      <w:r w:rsidRPr="008005B1" w:rsidR="006F65E3">
        <w:t xml:space="preserve"> sešu mēnešu laikā pēc lēmuma pieņemšanas par pētniecības pieteikumu apstiprināšanu</w:t>
      </w:r>
      <w:r>
        <w:t>;</w:t>
      </w:r>
    </w:p>
    <w:p w:rsidR="00264307" w:rsidRPr="006F65E3" w:rsidP="00160F57" w14:paraId="0486001B" w14:textId="2B5EA893">
      <w:pPr>
        <w:pStyle w:val="ListParagraph"/>
      </w:pPr>
      <w:r>
        <w:t xml:space="preserve">11. papildināt noteikumus, paredzot, ka </w:t>
      </w:r>
      <w:r w:rsidRPr="008824AF" w:rsidR="008824AF">
        <w:t>pētniecības pieteikuma iesniedzēja pienākums ir informēt sabiedrību par pētniecības pieteikuma norisēm</w:t>
      </w:r>
      <w:r w:rsidRPr="006F65E3" w:rsidR="001B1854">
        <w:t>.</w:t>
      </w:r>
    </w:p>
    <w:p w:rsidR="00917115" w:rsidP="007C39B0" w14:paraId="23BEC282" w14:textId="77777777">
      <w:pPr>
        <w:pStyle w:val="Heading2"/>
      </w:pPr>
      <w:bookmarkStart w:id="141" w:name="_Toc494727615"/>
      <w:bookmarkStart w:id="142" w:name="_Toc499019529"/>
      <w:bookmarkStart w:id="143" w:name="_Toc505086385"/>
      <w:bookmarkStart w:id="144" w:name="_Toc256000023"/>
      <w:bookmarkStart w:id="145" w:name="_Toc256000050"/>
      <w:r>
        <w:t>3.3</w:t>
      </w:r>
      <w:r>
        <w:t>. Pētniecības projekta iesniegum</w:t>
      </w:r>
      <w:r>
        <w:t>s</w:t>
      </w:r>
      <w:bookmarkEnd w:id="145"/>
      <w:bookmarkEnd w:id="144"/>
      <w:bookmarkEnd w:id="141"/>
      <w:bookmarkEnd w:id="142"/>
      <w:bookmarkEnd w:id="143"/>
      <w:r>
        <w:t xml:space="preserve"> </w:t>
      </w:r>
    </w:p>
    <w:p w:rsidR="00F60F40" w:rsidRPr="001445F5" w:rsidP="00160F57" w14:paraId="6838BFA1" w14:textId="77777777">
      <w:pPr>
        <w:pStyle w:val="ListParagraph"/>
      </w:pPr>
      <w:r>
        <w:t>SAM 1.1.1.</w:t>
      </w:r>
      <w:r w:rsidRPr="001445F5" w:rsidR="007C39B0">
        <w:t xml:space="preserve"> pasākum</w:t>
      </w:r>
      <w:r>
        <w:t>u</w:t>
      </w:r>
      <w:r w:rsidRPr="001445F5">
        <w:t xml:space="preserve"> turpmāko atlases kārtu</w:t>
      </w:r>
      <w:r w:rsidRPr="001445F5" w:rsidR="007C39B0">
        <w:t xml:space="preserve"> ietvaros p</w:t>
      </w:r>
      <w:r w:rsidRPr="001445F5" w:rsidR="00917115">
        <w:t>lānots</w:t>
      </w:r>
      <w:r w:rsidRPr="001445F5">
        <w:t>:</w:t>
      </w:r>
    </w:p>
    <w:p w:rsidR="00917115" w:rsidRPr="001445F5" w:rsidP="00160F57" w14:paraId="641C6B7D" w14:textId="77777777">
      <w:pPr>
        <w:pStyle w:val="ListParagraph"/>
      </w:pPr>
      <w:r w:rsidRPr="001445F5">
        <w:t>1. </w:t>
      </w:r>
      <w:r w:rsidRPr="001445F5">
        <w:t>precizēt pētniecības projektu iesniegum</w:t>
      </w:r>
      <w:r w:rsidRPr="001445F5" w:rsidR="007C39B0">
        <w:t>a</w:t>
      </w:r>
      <w:r w:rsidRPr="001445F5">
        <w:t xml:space="preserve"> veidlapu, tai skaitā</w:t>
      </w:r>
      <w:r w:rsidRPr="001445F5" w:rsidR="004850F8">
        <w:t xml:space="preserve"> pievienot papildu lauku, kurā sniedz  informācija par</w:t>
      </w:r>
      <w:r w:rsidR="00A7536A">
        <w:t xml:space="preserve"> a) </w:t>
      </w:r>
      <w:r w:rsidRPr="001445F5">
        <w:t xml:space="preserve">sagaidāmo projekta rezultātu ietekmi uz tautsaimniecības nozares transformāciju atbilstoši RIS3 mērķiem, </w:t>
      </w:r>
      <w:r w:rsidR="00A7536A">
        <w:t>b)</w:t>
      </w:r>
      <w:r w:rsidRPr="001445F5">
        <w:t xml:space="preserve"> projekta īstenošanas jomai un sagaidāmajiem rezultātiem </w:t>
      </w:r>
      <w:r w:rsidRPr="001445F5" w:rsidR="008E79E9">
        <w:t>atbilstoš</w:t>
      </w:r>
      <w:r w:rsidR="00A7536A">
        <w:t>o</w:t>
      </w:r>
      <w:r w:rsidRPr="001445F5" w:rsidR="008E79E9">
        <w:t xml:space="preserve"> </w:t>
      </w:r>
      <w:r w:rsidRPr="001445F5">
        <w:t>saimniecisko darbību statistiskās klasifikācijas (NACE 2. red.) kodu, kas nepieciešams, lai novērtētu projekta potenciālo ietekmi uz atbilstošās tautsaimniecības nozares transformāciju atbilstoši RIS3 mērķiem un prioritātēm;</w:t>
      </w:r>
    </w:p>
    <w:p w:rsidR="00917115" w:rsidRPr="001445F5" w:rsidP="00160F57" w14:paraId="315478BF" w14:textId="5C984938">
      <w:pPr>
        <w:pStyle w:val="ListParagraph"/>
      </w:pPr>
      <w:r w:rsidRPr="001445F5">
        <w:t xml:space="preserve">2. norādīt atsauces uz </w:t>
      </w:r>
      <w:r w:rsidRPr="001445F5" w:rsidR="007C39B0">
        <w:t xml:space="preserve">visiem projekta </w:t>
      </w:r>
      <w:r w:rsidRPr="001445F5">
        <w:t>iesniegumam pievienojamiem pielikumiem</w:t>
      </w:r>
      <w:r w:rsidRPr="001445F5" w:rsidR="00786649">
        <w:t xml:space="preserve"> sadalījumā pa projektu veidiem</w:t>
      </w:r>
      <w:r w:rsidRPr="001445F5" w:rsidR="00470D05">
        <w:t>, tai skaitā</w:t>
      </w:r>
      <w:r w:rsidRPr="001445F5">
        <w:t>:</w:t>
      </w:r>
      <w:r w:rsidR="00742391">
        <w:t xml:space="preserve"> </w:t>
      </w:r>
      <w:r w:rsidRPr="001445F5" w:rsidR="00A26E0A">
        <w:t>“</w:t>
      </w:r>
      <w:r w:rsidRPr="001445F5">
        <w:t>Sadarbības partnera projekta daļas budžeta kopsavilkums</w:t>
      </w:r>
      <w:r w:rsidRPr="001445F5" w:rsidR="00A26E0A">
        <w:t>”</w:t>
      </w:r>
      <w:r w:rsidRPr="001445F5">
        <w:t xml:space="preserve">, kas nepieciešams, lai noteiktu partnera ieguldījumu projekta īstenošanā, nosakot 1) intelektuālā īpašuma tiesību, kas izriet no projekta ietvaros veiktās darbības, </w:t>
      </w:r>
      <w:r w:rsidRPr="001445F5">
        <w:t>proporciju; 2) sadarbības partnerim pieejamo publiskā finansējuma apmēru ar saimniecisku darbību saistīta projekta gadījumā;</w:t>
      </w:r>
      <w:r w:rsidR="00742391">
        <w:t xml:space="preserve"> </w:t>
      </w:r>
      <w:r w:rsidRPr="001445F5" w:rsidR="00A26E0A">
        <w:t>“</w:t>
      </w:r>
      <w:r w:rsidRPr="001445F5">
        <w:t>Ar saimniecisku darbību saistīta projekta vidējās svērtās publiskā finansējuma intensitātes aprēķināšana</w:t>
      </w:r>
      <w:r w:rsidRPr="001445F5" w:rsidR="00A26E0A">
        <w:t>”</w:t>
      </w:r>
      <w:r w:rsidRPr="001445F5">
        <w:t>;</w:t>
      </w:r>
      <w:r w:rsidR="00742391">
        <w:t xml:space="preserve"> </w:t>
      </w:r>
      <w:r w:rsidRPr="001445F5" w:rsidR="00A26E0A">
        <w:t>“</w:t>
      </w:r>
      <w:r w:rsidRPr="001445F5">
        <w:t>Pētījuma projekta īstenošanā iesaistītā darbinieka kopējā darba laika un paveiktā darba uzskaites veidlapa</w:t>
      </w:r>
      <w:r w:rsidRPr="001445F5" w:rsidR="00A26E0A">
        <w:t>”</w:t>
      </w:r>
      <w:r w:rsidRPr="001445F5">
        <w:t>;</w:t>
      </w:r>
      <w:r w:rsidR="00742391">
        <w:t xml:space="preserve"> </w:t>
      </w:r>
      <w:r w:rsidRPr="001445F5" w:rsidR="00A26E0A">
        <w:t>“</w:t>
      </w:r>
      <w:r w:rsidRPr="001445F5">
        <w:t>Projektā iesaistīto zinātnisko darbinieku noslodze pilna laika ekvivalenta izteiksmē (PLE) projekta īstenošanas periodā</w:t>
      </w:r>
      <w:r w:rsidRPr="001445F5" w:rsidR="00A26E0A">
        <w:t>”</w:t>
      </w:r>
      <w:r w:rsidR="00742391">
        <w:t>;</w:t>
      </w:r>
      <w:r w:rsidRPr="001445F5">
        <w:t xml:space="preserve"> </w:t>
      </w:r>
    </w:p>
    <w:p w:rsidR="00786649" w:rsidRPr="001445F5" w:rsidP="00160F57" w14:paraId="10A9052A" w14:textId="016DEDDB">
      <w:pPr>
        <w:pStyle w:val="ListParagraph"/>
      </w:pPr>
      <w:r>
        <w:t>3</w:t>
      </w:r>
      <w:r w:rsidRPr="001445F5" w:rsidR="00917115">
        <w:t>. </w:t>
      </w:r>
      <w:r w:rsidRPr="001445F5">
        <w:t xml:space="preserve">samazināt projekta iesniegumam pievienojamo pielikumu skaitu (ja attiecināms), </w:t>
      </w:r>
      <w:r w:rsidR="00C75948">
        <w:t xml:space="preserve">tajā skaitā </w:t>
      </w:r>
      <w:r w:rsidR="006D3501">
        <w:t>7. pielikums “Projekta iesniedzēja īstenošanā esošie un pieteiktie projekti”</w:t>
      </w:r>
      <w:r w:rsidRPr="001445F5" w:rsidR="00F60F40">
        <w:t>;</w:t>
      </w:r>
    </w:p>
    <w:p w:rsidR="00917115" w:rsidRPr="001445F5" w:rsidP="00160F57" w14:paraId="3F37E490" w14:textId="5447ABD7">
      <w:pPr>
        <w:pStyle w:val="ListParagraph"/>
      </w:pPr>
      <w:r>
        <w:t>4</w:t>
      </w:r>
      <w:r w:rsidRPr="001445F5" w:rsidR="00786649">
        <w:t>. </w:t>
      </w:r>
      <w:r w:rsidRPr="001445F5" w:rsidR="00F60F40">
        <w:t>noteikt</w:t>
      </w:r>
      <w:r w:rsidRPr="001445F5" w:rsidR="00786649">
        <w:t xml:space="preserve">, ka </w:t>
      </w:r>
      <w:r w:rsidR="001E63D3">
        <w:t>Praktiskas ievirzes pētījumu programmas</w:t>
      </w:r>
      <w:r w:rsidR="00A7536A">
        <w:t xml:space="preserve"> </w:t>
      </w:r>
      <w:r w:rsidRPr="001445F5" w:rsidR="00786649">
        <w:t>p</w:t>
      </w:r>
      <w:r w:rsidRPr="001445F5" w:rsidR="000A187F">
        <w:t>rojekta iesniegumam pievieno visa projekta iesnieguma tulkojumu angļu valodā</w:t>
      </w:r>
      <w:r w:rsidRPr="001445F5" w:rsidR="00F60F40">
        <w:t>. Grozījumi paredzēti, lai</w:t>
      </w:r>
      <w:r w:rsidRPr="001445F5" w:rsidR="000A187F">
        <w:t xml:space="preserve"> nodrošin</w:t>
      </w:r>
      <w:r w:rsidRPr="001445F5" w:rsidR="00F60F40">
        <w:t>ātu</w:t>
      </w:r>
      <w:r w:rsidRPr="001445F5" w:rsidR="000A187F">
        <w:t xml:space="preserve"> vienotu informāciju abās valodās</w:t>
      </w:r>
      <w:r w:rsidRPr="001445F5" w:rsidR="00F60F40">
        <w:t>, paaugstinātu EK ekspertu atzinuma kvalitāti</w:t>
      </w:r>
      <w:r w:rsidRPr="001445F5" w:rsidR="000A187F">
        <w:t xml:space="preserve"> un </w:t>
      </w:r>
      <w:r w:rsidRPr="001445F5" w:rsidR="00F60F40">
        <w:t xml:space="preserve">samazinātu </w:t>
      </w:r>
      <w:r w:rsidRPr="001445F5" w:rsidR="000A187F">
        <w:t>potenciālu pārsūdzību risku</w:t>
      </w:r>
      <w:r w:rsidRPr="001445F5">
        <w:t xml:space="preserve">.  </w:t>
      </w:r>
    </w:p>
    <w:p w:rsidR="003B7F34" w:rsidP="00CA21D5" w14:paraId="5E484D04" w14:textId="77777777">
      <w:pPr>
        <w:pStyle w:val="Heading2"/>
      </w:pPr>
      <w:bookmarkStart w:id="146" w:name="_Toc494727616"/>
      <w:bookmarkStart w:id="147" w:name="_Toc499019530"/>
      <w:bookmarkStart w:id="148" w:name="_Toc505086386"/>
      <w:bookmarkStart w:id="149" w:name="_Toc256000024"/>
      <w:bookmarkStart w:id="150" w:name="_Toc256000051"/>
      <w:r>
        <w:t>3</w:t>
      </w:r>
      <w:r w:rsidR="00A917FE">
        <w:t>.</w:t>
      </w:r>
      <w:r w:rsidR="00786649">
        <w:t>4</w:t>
      </w:r>
      <w:r w:rsidR="00A917FE">
        <w:t>. </w:t>
      </w:r>
      <w:r w:rsidR="00A7536A">
        <w:t>Papildu</w:t>
      </w:r>
      <w:r w:rsidR="004850F8">
        <w:t xml:space="preserve"> </w:t>
      </w:r>
      <w:r w:rsidR="00B01CBA">
        <w:t xml:space="preserve">nosacījumi SAM 1.1.1. pasākumu ieviešanas </w:t>
      </w:r>
      <w:bookmarkEnd w:id="146"/>
      <w:r w:rsidR="00B01CBA">
        <w:t>uzlabojumiem</w:t>
      </w:r>
      <w:bookmarkEnd w:id="150"/>
      <w:bookmarkEnd w:id="149"/>
      <w:bookmarkEnd w:id="147"/>
      <w:bookmarkEnd w:id="148"/>
    </w:p>
    <w:p w:rsidR="00362C15" w:rsidP="00532C6A" w14:paraId="16BF7117" w14:textId="77777777">
      <w:r>
        <w:t xml:space="preserve">Lai sekmētu SAM 1.1.1. </w:t>
      </w:r>
      <w:r w:rsidR="00B01CBA">
        <w:t>pasākumu ieviešanu</w:t>
      </w:r>
      <w:r w:rsidR="00DA221E">
        <w:t xml:space="preserve"> un</w:t>
      </w:r>
      <w:r w:rsidR="004850F8">
        <w:t xml:space="preserve"> </w:t>
      </w:r>
      <w:r w:rsidR="00887CB9">
        <w:t xml:space="preserve">investīciju </w:t>
      </w:r>
      <w:r w:rsidR="00B5090B">
        <w:t xml:space="preserve">P&amp;A </w:t>
      </w:r>
      <w:r w:rsidR="00887CB9">
        <w:t>piesaisti</w:t>
      </w:r>
      <w:r w:rsidR="00B5090B">
        <w:t xml:space="preserve">, </w:t>
      </w:r>
      <w:r w:rsidR="00532C6A">
        <w:t xml:space="preserve">SAM </w:t>
      </w:r>
      <w:r w:rsidR="00B5090B">
        <w:t>1.1.1. pasākum</w:t>
      </w:r>
      <w:r w:rsidR="00532C6A">
        <w:t>u</w:t>
      </w:r>
      <w:r w:rsidR="00B5090B">
        <w:t xml:space="preserve"> ietvaros</w:t>
      </w:r>
      <w:r w:rsidR="00532C6A">
        <w:t xml:space="preserve"> plānots</w:t>
      </w:r>
      <w:r w:rsidR="00B5090B">
        <w:t>:</w:t>
      </w:r>
      <w:r w:rsidR="00DA221E">
        <w:t xml:space="preserve"> </w:t>
      </w:r>
    </w:p>
    <w:p w:rsidR="00C23665" w:rsidP="00160F57" w14:paraId="496242A4" w14:textId="77777777">
      <w:pPr>
        <w:pStyle w:val="ListParagraph"/>
      </w:pPr>
      <w:r>
        <w:t>1. </w:t>
      </w:r>
      <w:r w:rsidR="001F5D0F">
        <w:t xml:space="preserve">Praktiskas ievirzes pētījumu programmas </w:t>
      </w:r>
      <w:r w:rsidR="00B01CBA">
        <w:t xml:space="preserve">otrajai </w:t>
      </w:r>
      <w:r w:rsidRPr="003D7736" w:rsidR="00B01CBA">
        <w:t xml:space="preserve">pētniecības </w:t>
      </w:r>
      <w:r w:rsidR="00B01CBA">
        <w:t>iesniegumu</w:t>
      </w:r>
      <w:r w:rsidRPr="003D7736" w:rsidR="00B01CBA">
        <w:t xml:space="preserve"> atlases kārtai </w:t>
      </w:r>
      <w:r w:rsidR="00B01CBA">
        <w:t>paredzēt publisko finansējumu 25 MEUR apmērā (68% no turpmākajām atlases kārtām pieejamā publiskā finansējuma);</w:t>
      </w:r>
    </w:p>
    <w:p w:rsidR="00B01CBA" w:rsidP="00160F57" w14:paraId="59A36BC3" w14:textId="77777777">
      <w:pPr>
        <w:pStyle w:val="ListParagraph"/>
      </w:pPr>
      <w:r>
        <w:t>2. </w:t>
      </w:r>
      <w:r w:rsidR="002A414E">
        <w:t xml:space="preserve">Pēcdoktorantūras pētījumu programmas </w:t>
      </w:r>
      <w:r>
        <w:t xml:space="preserve"> </w:t>
      </w:r>
      <w:r w:rsidRPr="003D7736">
        <w:t>otr</w:t>
      </w:r>
      <w:r>
        <w:t>aj</w:t>
      </w:r>
      <w:r w:rsidRPr="003D7736">
        <w:t xml:space="preserve">ai pētniecības pieteikumu atlases kārtai </w:t>
      </w:r>
      <w:r>
        <w:t>paredzēt</w:t>
      </w:r>
      <w:r w:rsidRPr="003D7736">
        <w:t xml:space="preserve"> 2</w:t>
      </w:r>
      <w:r>
        <w:t>5</w:t>
      </w:r>
      <w:r w:rsidRPr="003D7736">
        <w:t xml:space="preserve">% (ap </w:t>
      </w:r>
      <w:r>
        <w:t>113</w:t>
      </w:r>
      <w:r w:rsidRPr="003D7736">
        <w:t xml:space="preserve"> apstiprināti pieteikumi) no </w:t>
      </w:r>
      <w:r w:rsidR="002A414E">
        <w:t xml:space="preserve">Pēcdoktorantūras pētījumu programmas </w:t>
      </w:r>
      <w:r w:rsidRPr="003D7736">
        <w:t xml:space="preserve">m atvēlētā kopējā attiecināmā </w:t>
      </w:r>
      <w:r>
        <w:t>publiskā finansējuma apmēra;</w:t>
      </w:r>
    </w:p>
    <w:p w:rsidR="0035185E" w:rsidP="00160F57" w14:paraId="6D69FE0A" w14:textId="77777777">
      <w:pPr>
        <w:pStyle w:val="ListParagraph"/>
      </w:pPr>
      <w:r>
        <w:t>3</w:t>
      </w:r>
      <w:r w:rsidR="00C23665">
        <w:t>. </w:t>
      </w:r>
      <w:r w:rsidR="001E63D3">
        <w:t>Praktiskas ievirzes pētījumu programmas</w:t>
      </w:r>
      <w:r>
        <w:t xml:space="preserve"> </w:t>
      </w:r>
      <w:r w:rsidRPr="003D7736" w:rsidR="00C23665">
        <w:t xml:space="preserve">otro </w:t>
      </w:r>
      <w:r w:rsidR="00532C6A">
        <w:t xml:space="preserve">projektu iesniegumu </w:t>
      </w:r>
      <w:r w:rsidRPr="003D7736" w:rsidR="00C23665">
        <w:t>atlases kārtu izsludin</w:t>
      </w:r>
      <w:r w:rsidR="00D40110">
        <w:t>āt</w:t>
      </w:r>
      <w:r>
        <w:t xml:space="preserve"> </w:t>
      </w:r>
      <w:r>
        <w:t xml:space="preserve">pēc MK noteikumu </w:t>
      </w:r>
      <w:r w:rsidR="00EC0508">
        <w:t xml:space="preserve">Nr. 34 </w:t>
      </w:r>
      <w:r>
        <w:t>grozījumiem un pētniecības iesniegumu atlases dokumentu izstrādes atbilstoši šī ziņojuma 2.5. un 3.1. sadaļā minētajam;</w:t>
      </w:r>
    </w:p>
    <w:p w:rsidR="00EC0508" w:rsidP="00160F57" w14:paraId="1643BC8C" w14:textId="77777777">
      <w:pPr>
        <w:pStyle w:val="ListParagraph"/>
      </w:pPr>
      <w:r>
        <w:t>4. </w:t>
      </w:r>
      <w:r w:rsidR="002A414E">
        <w:t xml:space="preserve">Pēcdoktorantūras pētījumu programmas </w:t>
      </w:r>
      <w:r w:rsidRPr="003D7736">
        <w:t xml:space="preserve">otro </w:t>
      </w:r>
      <w:r>
        <w:t xml:space="preserve">projektu iesniegumu </w:t>
      </w:r>
      <w:r w:rsidRPr="003D7736">
        <w:t>atlases kārtu izsludin</w:t>
      </w:r>
      <w:r>
        <w:t>āt pēc pētniecības pieteikumu atlases dokumentu izstrādes atbilstoši šī ziņojuma 2.5. un 3.1. sadaļā minētajam;</w:t>
      </w:r>
    </w:p>
    <w:p w:rsidR="00411ABE" w:rsidRPr="00F77DD2" w:rsidP="00160F57" w14:paraId="3FA50487" w14:textId="57C0FD13">
      <w:pPr>
        <w:pStyle w:val="ListParagraph"/>
      </w:pPr>
      <w:r>
        <w:t>5</w:t>
      </w:r>
      <w:r w:rsidR="00B01CBA">
        <w:t>. </w:t>
      </w:r>
      <w:r w:rsidR="005F1909">
        <w:t>Finanšu ministrija</w:t>
      </w:r>
      <w:r w:rsidRPr="0054181B" w:rsidR="005F1909">
        <w:t xml:space="preserve"> rod risinājumu, lai nodrošinātu </w:t>
      </w:r>
      <w:r w:rsidR="001E63D3">
        <w:t>Praktiskas ievirzes pētījumu programmas</w:t>
      </w:r>
      <w:r w:rsidR="005F1909">
        <w:t xml:space="preserve"> projektu iesniegumu kvalitātes vērtēšanai </w:t>
      </w:r>
      <w:r w:rsidRPr="0054181B" w:rsidR="005F1909">
        <w:t>nepieciešamo finansējumu</w:t>
      </w:r>
      <w:r w:rsidR="000222AA">
        <w:t xml:space="preserve"> </w:t>
      </w:r>
      <w:r w:rsidRPr="00C75948" w:rsidR="000222AA">
        <w:t>(</w:t>
      </w:r>
      <w:r w:rsidRPr="00F77DD2" w:rsidR="000222AA">
        <w:t xml:space="preserve">skat. </w:t>
      </w:r>
      <w:r w:rsidRPr="00F77DD2" w:rsidR="00BE1679">
        <w:t>Z</w:t>
      </w:r>
      <w:r w:rsidRPr="00F77DD2" w:rsidR="000222AA">
        <w:t>iņojuma 3. pielikumu</w:t>
      </w:r>
      <w:r w:rsidRPr="00C75948" w:rsidR="000222AA">
        <w:t>)</w:t>
      </w:r>
      <w:r w:rsidRPr="00C75948" w:rsidR="00304C7D">
        <w:t xml:space="preserve"> </w:t>
      </w:r>
      <w:r>
        <w:t>pēc 2018. gada 31. decembra</w:t>
      </w:r>
      <w:r w:rsidR="008149E9">
        <w:t xml:space="preserve">: </w:t>
      </w:r>
      <w:r w:rsidRPr="00D34572" w:rsidR="00246857">
        <w:t xml:space="preserve">327 195 </w:t>
      </w:r>
      <w:r w:rsidRPr="00D34572" w:rsidR="008149E9">
        <w:rPr>
          <w:i/>
        </w:rPr>
        <w:t>euro</w:t>
      </w:r>
      <w:r w:rsidRPr="00F77DD2" w:rsidR="008A0E76">
        <w:rPr>
          <w:i/>
        </w:rPr>
        <w:t xml:space="preserve"> </w:t>
      </w:r>
      <w:r w:rsidRPr="00C75948" w:rsidR="001E63D3">
        <w:t>Praktiskas ievirzes pētījumu programmas</w:t>
      </w:r>
      <w:r w:rsidRPr="00F77DD2" w:rsidR="008A0E76">
        <w:t xml:space="preserve"> projektu sākotnējai, vidusposma un noslēguma kvalitātes vērtēšanai</w:t>
      </w:r>
      <w:r w:rsidRPr="00F77DD2" w:rsidR="003A2108">
        <w:t>;</w:t>
      </w:r>
    </w:p>
    <w:p w:rsidR="00362C15" w:rsidRPr="003D7736" w:rsidP="00160F57" w14:paraId="38AB7554" w14:textId="77777777">
      <w:pPr>
        <w:pStyle w:val="ListParagraph"/>
      </w:pPr>
      <w:r>
        <w:t>6</w:t>
      </w:r>
      <w:r w:rsidR="003D7736">
        <w:t>. </w:t>
      </w:r>
      <w:r w:rsidRPr="00F77DD2" w:rsidR="007D1CD3">
        <w:t>atbildīgajai iestādei, VIAA un CFLA</w:t>
      </w:r>
      <w:r w:rsidRPr="003D7736">
        <w:t xml:space="preserve"> sniegt konsultatīvo atbalstu pētniecības </w:t>
      </w:r>
      <w:r w:rsidR="0035185E">
        <w:t xml:space="preserve">iesniegumu </w:t>
      </w:r>
      <w:r w:rsidRPr="003D7736">
        <w:t xml:space="preserve">sagatavošanā, </w:t>
      </w:r>
      <w:r w:rsidR="0035185E">
        <w:t xml:space="preserve">ņemot vērā </w:t>
      </w:r>
      <w:r w:rsidR="00F00596">
        <w:t>pirmās atlases</w:t>
      </w:r>
      <w:r w:rsidRPr="003D7736">
        <w:t xml:space="preserve"> kārtas ietvaros </w:t>
      </w:r>
      <w:r w:rsidR="00C07944">
        <w:t xml:space="preserve">pētniecības projektu iesniegumos </w:t>
      </w:r>
      <w:r w:rsidR="0035185E">
        <w:t>konstatētās neatbilstības</w:t>
      </w:r>
      <w:r w:rsidR="003A2108">
        <w:t xml:space="preserve">, tai skaitā </w:t>
      </w:r>
      <w:r w:rsidR="002A414E">
        <w:t xml:space="preserve">Pēcdoktorantūras pētījumu programmas </w:t>
      </w:r>
      <w:r w:rsidR="00D40110">
        <w:t xml:space="preserve"> ietvaros </w:t>
      </w:r>
      <w:r w:rsidRPr="003D7736">
        <w:t>organizēt seminārus</w:t>
      </w:r>
      <w:r w:rsidR="003A2108">
        <w:t xml:space="preserve"> saistībā ar</w:t>
      </w:r>
      <w:r w:rsidRPr="003D7736">
        <w:t xml:space="preserve"> pamatprogrammas </w:t>
      </w:r>
      <w:r w:rsidR="00A26E0A">
        <w:t>“</w:t>
      </w:r>
      <w:r w:rsidRPr="003D7736">
        <w:t>Apvārsnis 2020</w:t>
      </w:r>
      <w:r w:rsidR="00A26E0A">
        <w:t>”</w:t>
      </w:r>
      <w:r w:rsidRPr="003D7736">
        <w:t xml:space="preserve"> Marijas Sklodovskas-Kirī programmas </w:t>
      </w:r>
      <w:r w:rsidR="00A26E0A">
        <w:t>“</w:t>
      </w:r>
      <w:r w:rsidRPr="003D7736">
        <w:t>Individuālās stipendijas</w:t>
      </w:r>
      <w:r w:rsidR="00A26E0A">
        <w:t>”</w:t>
      </w:r>
      <w:r w:rsidRPr="003D7736">
        <w:t xml:space="preserve"> nosacījumiem;</w:t>
      </w:r>
    </w:p>
    <w:p w:rsidR="00392320" w:rsidRPr="00392320" w:rsidP="00160F57" w14:paraId="24C0D988" w14:textId="77777777">
      <w:pPr>
        <w:pStyle w:val="ListParagraph"/>
        <w:rPr>
          <w:color w:val="FF0000"/>
        </w:rPr>
      </w:pPr>
      <w:r>
        <w:t>7</w:t>
      </w:r>
      <w:r w:rsidR="002512BE">
        <w:t>.  </w:t>
      </w:r>
      <w:r w:rsidRPr="00F77DD2" w:rsidR="007D1CD3">
        <w:t>atbildīgajai iestādei, VIAA un CFLA</w:t>
      </w:r>
      <w:r w:rsidR="007D1CD3">
        <w:t xml:space="preserve"> </w:t>
      </w:r>
      <w:r w:rsidR="002512BE">
        <w:t>īstenot pasākumus, kas vērsti uz komersantu iesaisti pasākuma īstenošanā, tai skaitā:</w:t>
      </w:r>
      <w:r w:rsidR="00A1566A">
        <w:t xml:space="preserve"> </w:t>
      </w:r>
      <w:r w:rsidR="003A2108">
        <w:t xml:space="preserve">turpināt </w:t>
      </w:r>
      <w:r w:rsidR="006C24CC">
        <w:t>sadarb</w:t>
      </w:r>
      <w:r w:rsidR="003A2108">
        <w:t>ību</w:t>
      </w:r>
      <w:r w:rsidR="006C24CC">
        <w:t xml:space="preserve"> ar LIAA un </w:t>
      </w:r>
      <w:r w:rsidR="003A2108">
        <w:t xml:space="preserve">finanšu institūciju </w:t>
      </w:r>
      <w:r w:rsidR="00D40110">
        <w:t>ALTUM</w:t>
      </w:r>
      <w:r w:rsidR="006C24CC">
        <w:t>;</w:t>
      </w:r>
      <w:r w:rsidR="00A1566A">
        <w:t xml:space="preserve"> </w:t>
      </w:r>
      <w:r w:rsidRPr="003D7736" w:rsidR="002512BE">
        <w:t>rīkot semināru</w:t>
      </w:r>
      <w:r w:rsidR="002512BE">
        <w:t xml:space="preserve">s, kuru mērķauditorija ir komersanti (mērķauditorijas apzināšana, </w:t>
      </w:r>
      <w:r w:rsidR="0035185E">
        <w:t xml:space="preserve">t.sk., </w:t>
      </w:r>
      <w:r w:rsidR="002512BE">
        <w:t>izmantojot</w:t>
      </w:r>
      <w:r w:rsidRPr="003D7736" w:rsidR="002512BE">
        <w:t xml:space="preserve"> VIAA NKP informācijas kanālus</w:t>
      </w:r>
      <w:r w:rsidR="002512BE">
        <w:t>)</w:t>
      </w:r>
      <w:r w:rsidR="006C24CC">
        <w:t>;</w:t>
      </w:r>
      <w:r w:rsidR="00A1566A">
        <w:t xml:space="preserve"> </w:t>
      </w:r>
      <w:r w:rsidRPr="009836B7" w:rsidR="006C24CC">
        <w:t xml:space="preserve">izstrādāt </w:t>
      </w:r>
      <w:r w:rsidR="00D40110">
        <w:t xml:space="preserve">un izplatīt </w:t>
      </w:r>
      <w:r w:rsidRPr="009836B7" w:rsidR="006C24CC">
        <w:t xml:space="preserve">viegli </w:t>
      </w:r>
      <w:r w:rsidR="00D40110">
        <w:t>uztveramu</w:t>
      </w:r>
      <w:r w:rsidRPr="009836B7" w:rsidR="006C24CC">
        <w:t xml:space="preserve"> informatīvo materiālu </w:t>
      </w:r>
      <w:r w:rsidR="00D40110">
        <w:t xml:space="preserve">par SAM 1.1.1. pasākumu īstenošanas noteikumiem </w:t>
      </w:r>
      <w:r w:rsidRPr="009836B7" w:rsidR="006C24CC">
        <w:t>komersantiem</w:t>
      </w:r>
      <w:r w:rsidR="00D40110">
        <w:t>, EK ekspertiem un potenciālajiem ārvalstu partneriem</w:t>
      </w:r>
      <w:r>
        <w:t>;</w:t>
      </w:r>
    </w:p>
    <w:p w:rsidR="006C24CC" w:rsidP="00160F57" w14:paraId="1565EADC" w14:textId="77777777">
      <w:pPr>
        <w:pStyle w:val="ListParagraph"/>
      </w:pPr>
      <w:r>
        <w:t>8</w:t>
      </w:r>
      <w:r w:rsidR="00392320">
        <w:t>.</w:t>
      </w:r>
      <w:r w:rsidR="00C75948">
        <w:t> </w:t>
      </w:r>
      <w:r w:rsidRPr="00F77DD2" w:rsidR="007D1CD3">
        <w:t xml:space="preserve">CFLA un VIAA </w:t>
      </w:r>
      <w:r w:rsidRPr="00F77DD2" w:rsidR="00392320">
        <w:t>nodrošināt</w:t>
      </w:r>
      <w:r w:rsidR="00392320">
        <w:t xml:space="preserve"> savlaicīgu informācijas apriti, tai skaitā saistībā ar pētniecības pieteikumu atlases izsludināšanu</w:t>
      </w:r>
      <w:r w:rsidR="00A917FE">
        <w:t>, pētniecības pieteikumu vērtēšanu, nosacījumu izpildi un līgumu slēgšanu;</w:t>
      </w:r>
    </w:p>
    <w:p w:rsidR="00327807" w:rsidP="00160F57" w14:paraId="01EFB319" w14:textId="77777777">
      <w:pPr>
        <w:pStyle w:val="ListParagraph"/>
        <w:rPr>
          <w:rFonts w:eastAsia="Times New Roman"/>
        </w:rPr>
        <w:sectPr w:rsidSect="001F2D02">
          <w:pgSz w:w="11906" w:h="16838"/>
          <w:pgMar w:top="1134" w:right="1134" w:bottom="1134" w:left="1701" w:header="425" w:footer="193" w:gutter="0"/>
          <w:cols w:space="708"/>
          <w:titlePg/>
          <w:docGrid w:linePitch="360"/>
        </w:sectPr>
      </w:pPr>
      <w:r>
        <w:t>9</w:t>
      </w:r>
      <w:r w:rsidR="0084286D">
        <w:t>. </w:t>
      </w:r>
      <w:r w:rsidR="0084286D">
        <w:rPr>
          <w:rFonts w:cs="Times New Roman"/>
        </w:rPr>
        <w:t xml:space="preserve">VIAA </w:t>
      </w:r>
      <w:r w:rsidRPr="0035185E" w:rsidR="0084286D">
        <w:t xml:space="preserve">piešķirt IZM kā atbildīgajai iestādei 2-3 pieejas </w:t>
      </w:r>
      <w:r w:rsidRPr="00C07944" w:rsidR="0084286D">
        <w:rPr>
          <w:i/>
        </w:rPr>
        <w:t>PostDoc</w:t>
      </w:r>
      <w:r w:rsidRPr="0035185E" w:rsidR="0084286D">
        <w:t xml:space="preserve"> IT sistēmai, lai nodrošinātu operatīvāku informācijas apriti un mazinātu administratīvo slogu VIAA kā finansējuma saņēmējam </w:t>
      </w:r>
      <w:r w:rsidR="002A414E">
        <w:t xml:space="preserve">Pēcdoktorantūras pētījumu programmas </w:t>
      </w:r>
      <w:r w:rsidRPr="0035185E" w:rsidR="0084286D">
        <w:t xml:space="preserve"> īstenošanā</w:t>
      </w:r>
      <w:r w:rsidR="0084286D">
        <w:rPr>
          <w:rFonts w:cs="Times New Roman"/>
        </w:rPr>
        <w:t>.</w:t>
      </w:r>
    </w:p>
    <w:p w:rsidR="004850F8" w:rsidRPr="00776EF4" w:rsidP="004850F8" w14:paraId="63B669E5" w14:textId="77777777">
      <w:pPr>
        <w:pStyle w:val="Heading1"/>
      </w:pPr>
      <w:bookmarkStart w:id="151" w:name="_Toc480993960"/>
      <w:bookmarkStart w:id="152" w:name="_Toc491253463"/>
      <w:bookmarkStart w:id="153" w:name="_Toc494727617"/>
      <w:bookmarkStart w:id="154" w:name="_Toc499019531"/>
      <w:bookmarkStart w:id="155" w:name="_Toc505086387"/>
      <w:bookmarkStart w:id="156" w:name="_Ref491251686"/>
      <w:bookmarkStart w:id="157" w:name="_Toc256000025"/>
      <w:bookmarkStart w:id="158" w:name="_Toc256000052"/>
      <w:r>
        <w:t>4</w:t>
      </w:r>
      <w:r>
        <w:t xml:space="preserve">. Pasākumu plāns </w:t>
      </w:r>
      <w:bookmarkEnd w:id="151"/>
      <w:r>
        <w:t>risku mazināšanai</w:t>
      </w:r>
      <w:bookmarkEnd w:id="158"/>
      <w:bookmarkEnd w:id="157"/>
      <w:bookmarkEnd w:id="152"/>
      <w:bookmarkEnd w:id="153"/>
      <w:bookmarkEnd w:id="154"/>
      <w:bookmarkEnd w:id="155"/>
    </w:p>
    <w:p w:rsidR="00117114" w:rsidP="00117114" w14:paraId="68096FA6" w14:textId="77777777">
      <w:r>
        <w:t>Pasākumu</w:t>
      </w:r>
      <w:r>
        <w:t xml:space="preserve"> </w:t>
      </w:r>
      <w:r>
        <w:t xml:space="preserve">plāns </w:t>
      </w:r>
      <w:r w:rsidR="0005654D">
        <w:t xml:space="preserve">SAM 1.1.1. ietvaros identificēto </w:t>
      </w:r>
      <w:r>
        <w:t xml:space="preserve">risku mazināšanai sniegts šā ziņojuma </w:t>
      </w:r>
      <w:r w:rsidR="00A87741">
        <w:t xml:space="preserve">5. </w:t>
      </w:r>
      <w:r>
        <w:t>tabulā.</w:t>
      </w:r>
    </w:p>
    <w:p w:rsidR="00327807" w:rsidP="00867813" w14:paraId="4D0D3501" w14:textId="77777777">
      <w:pPr>
        <w:pStyle w:val="Caption"/>
        <w:spacing w:before="0"/>
        <w:rPr>
          <w:rFonts w:eastAsia="Times New Roman" w:cs="Times New Roman"/>
          <w:lang w:eastAsia="lv-LV"/>
        </w:rPr>
      </w:pPr>
      <w:bookmarkStart w:id="159" w:name="_Ref495235097"/>
      <w:r>
        <w:fldChar w:fldCharType="begin"/>
      </w:r>
      <w:r>
        <w:instrText xml:space="preserve"> SEQ tabula \* ARABIC </w:instrText>
      </w:r>
      <w:r>
        <w:fldChar w:fldCharType="separate"/>
      </w:r>
      <w:r>
        <w:t>4</w:t>
      </w:r>
      <w:r>
        <w:rPr>
          <w:noProof/>
        </w:rPr>
        <w:fldChar w:fldCharType="end"/>
      </w:r>
      <w:r>
        <w:t>. tabula</w:t>
      </w:r>
      <w:bookmarkEnd w:id="156"/>
      <w:bookmarkEnd w:id="159"/>
      <w:r>
        <w:t xml:space="preserve">. Pasākumu plāns </w:t>
      </w:r>
      <w:r w:rsidR="00A87741">
        <w:t xml:space="preserve">SAM 1.1.1. ietvaros </w:t>
      </w:r>
      <w:r>
        <w:t xml:space="preserve">identificēto risku mazināšanai </w:t>
      </w:r>
    </w:p>
    <w:tbl>
      <w:tblPr>
        <w:tblStyle w:val="GridTable1Light1"/>
        <w:tblW w:w="5000" w:type="pct"/>
        <w:tblLook w:val="04A0"/>
      </w:tblPr>
      <w:tblGrid>
        <w:gridCol w:w="934"/>
        <w:gridCol w:w="2881"/>
        <w:gridCol w:w="1067"/>
        <w:gridCol w:w="5672"/>
        <w:gridCol w:w="2200"/>
        <w:gridCol w:w="1664"/>
      </w:tblGrid>
      <w:tr w14:paraId="178E1D58" w14:textId="77777777" w:rsidTr="001D4D5A">
        <w:tblPrEx>
          <w:tblW w:w="5000" w:type="pct"/>
          <w:tblLook w:val="04A0"/>
        </w:tblPrEx>
        <w:tc>
          <w:tcPr>
            <w:tcW w:w="324" w:type="pct"/>
            <w:shd w:val="clear" w:color="auto" w:fill="E7DDDD" w:themeFill="accent6" w:themeFillTint="33"/>
            <w:vAlign w:val="center"/>
          </w:tcPr>
          <w:p w:rsidR="00867813" w:rsidP="00327807" w14:paraId="0EB75151" w14:textId="77777777">
            <w:pPr>
              <w:pStyle w:val="GridTableX"/>
              <w:rPr>
                <w:b/>
              </w:rPr>
            </w:pPr>
            <w:r w:rsidRPr="001165F4">
              <w:rPr>
                <w:b/>
              </w:rPr>
              <w:t>N.</w:t>
            </w:r>
          </w:p>
          <w:p w:rsidR="00327807" w:rsidRPr="001165F4" w:rsidP="00327807" w14:paraId="29B73DC2" w14:textId="77777777">
            <w:pPr>
              <w:pStyle w:val="GridTableX"/>
              <w:rPr>
                <w:b/>
              </w:rPr>
            </w:pPr>
            <w:r w:rsidRPr="001165F4">
              <w:rPr>
                <w:b/>
              </w:rPr>
              <w:t>P.K.</w:t>
            </w:r>
          </w:p>
        </w:tc>
        <w:tc>
          <w:tcPr>
            <w:tcW w:w="999" w:type="pct"/>
            <w:shd w:val="clear" w:color="auto" w:fill="E7DDDD" w:themeFill="accent6" w:themeFillTint="33"/>
            <w:vAlign w:val="center"/>
          </w:tcPr>
          <w:p w:rsidR="00327807" w:rsidRPr="001165F4" w:rsidP="00327807" w14:paraId="75C91131" w14:textId="77777777">
            <w:pPr>
              <w:pStyle w:val="GridTableX"/>
              <w:rPr>
                <w:b/>
              </w:rPr>
            </w:pPr>
            <w:r w:rsidRPr="001165F4">
              <w:rPr>
                <w:b/>
              </w:rPr>
              <w:t>Risks</w:t>
            </w:r>
          </w:p>
        </w:tc>
        <w:tc>
          <w:tcPr>
            <w:tcW w:w="370" w:type="pct"/>
            <w:shd w:val="clear" w:color="auto" w:fill="E7DDDD" w:themeFill="accent6" w:themeFillTint="33"/>
            <w:vAlign w:val="center"/>
          </w:tcPr>
          <w:p w:rsidR="00327807" w:rsidRPr="00E20D84" w:rsidP="001D4D5A" w14:paraId="3DA57D36" w14:textId="77777777">
            <w:pPr>
              <w:pStyle w:val="GridTableX"/>
              <w:ind w:firstLine="0"/>
              <w:jc w:val="both"/>
              <w:rPr>
                <w:b/>
              </w:rPr>
            </w:pPr>
            <w:r>
              <w:rPr>
                <w:b/>
              </w:rPr>
              <w:t>Riska p</w:t>
            </w:r>
            <w:r w:rsidRPr="00E20D84">
              <w:rPr>
                <w:b/>
              </w:rPr>
              <w:t>akāpe</w:t>
            </w:r>
          </w:p>
        </w:tc>
        <w:tc>
          <w:tcPr>
            <w:tcW w:w="1967" w:type="pct"/>
            <w:shd w:val="clear" w:color="auto" w:fill="E7DDDD" w:themeFill="accent6" w:themeFillTint="33"/>
            <w:vAlign w:val="center"/>
          </w:tcPr>
          <w:p w:rsidR="00327807" w:rsidRPr="001165F4" w:rsidP="00327807" w14:paraId="10C15690" w14:textId="77777777">
            <w:pPr>
              <w:pStyle w:val="GridTableX"/>
              <w:rPr>
                <w:b/>
              </w:rPr>
            </w:pPr>
            <w:r w:rsidRPr="001165F4">
              <w:rPr>
                <w:b/>
              </w:rPr>
              <w:t>Pasākums riska mazināšanai</w:t>
            </w:r>
          </w:p>
        </w:tc>
        <w:tc>
          <w:tcPr>
            <w:tcW w:w="763" w:type="pct"/>
            <w:shd w:val="clear" w:color="auto" w:fill="E7DDDD" w:themeFill="accent6" w:themeFillTint="33"/>
            <w:vAlign w:val="center"/>
          </w:tcPr>
          <w:p w:rsidR="00327807" w:rsidRPr="001165F4" w:rsidP="001D4D5A" w14:paraId="642292E6" w14:textId="77777777">
            <w:pPr>
              <w:pStyle w:val="GridTableX"/>
              <w:ind w:firstLine="0"/>
              <w:jc w:val="both"/>
              <w:rPr>
                <w:b/>
              </w:rPr>
            </w:pPr>
            <w:r w:rsidRPr="001165F4">
              <w:rPr>
                <w:b/>
              </w:rPr>
              <w:t>Par uzdevuma izpildi atbildīgā institūcija</w:t>
            </w:r>
          </w:p>
        </w:tc>
        <w:tc>
          <w:tcPr>
            <w:tcW w:w="577" w:type="pct"/>
            <w:shd w:val="clear" w:color="auto" w:fill="E7DDDD" w:themeFill="accent6" w:themeFillTint="33"/>
            <w:vAlign w:val="center"/>
          </w:tcPr>
          <w:p w:rsidR="00327807" w:rsidRPr="001165F4" w:rsidP="001D4D5A" w14:paraId="1D6A716D" w14:textId="77777777">
            <w:pPr>
              <w:pStyle w:val="GridTableX"/>
              <w:ind w:firstLine="0"/>
              <w:jc w:val="both"/>
              <w:rPr>
                <w:b/>
              </w:rPr>
            </w:pPr>
            <w:r w:rsidRPr="001165F4">
              <w:rPr>
                <w:b/>
              </w:rPr>
              <w:t>Izpildes datums</w:t>
            </w:r>
          </w:p>
        </w:tc>
      </w:tr>
      <w:tr w14:paraId="2C704CE0" w14:textId="77777777" w:rsidTr="001D4D5A">
        <w:tblPrEx>
          <w:tblW w:w="5000" w:type="pct"/>
          <w:tblLook w:val="04A0"/>
        </w:tblPrEx>
        <w:tc>
          <w:tcPr>
            <w:tcW w:w="324" w:type="pct"/>
            <w:vMerge w:val="restart"/>
            <w:shd w:val="clear" w:color="auto" w:fill="EFEDED"/>
          </w:tcPr>
          <w:p w:rsidR="00505BB6" w:rsidRPr="00E34C8C" w:rsidP="00E34C8C" w14:paraId="42087C08" w14:textId="77777777">
            <w:pPr>
              <w:pStyle w:val="GridTableX"/>
              <w:jc w:val="left"/>
              <w:rPr>
                <w:b/>
              </w:rPr>
            </w:pPr>
            <w:r>
              <w:rPr>
                <w:b/>
              </w:rPr>
              <w:t>1.</w:t>
            </w:r>
          </w:p>
        </w:tc>
        <w:tc>
          <w:tcPr>
            <w:tcW w:w="999" w:type="pct"/>
            <w:vMerge w:val="restart"/>
          </w:tcPr>
          <w:p w:rsidR="00505BB6" w:rsidP="00867813" w14:paraId="5A8B082F" w14:textId="77777777">
            <w:pPr>
              <w:pStyle w:val="GridTableX"/>
              <w:jc w:val="both"/>
              <w:rPr>
                <w:b w:val="0"/>
              </w:rPr>
            </w:pPr>
            <w:r w:rsidRPr="00E34C8C">
              <w:t>Iznākuma rādītāju sasniegšana:</w:t>
            </w:r>
          </w:p>
          <w:p w:rsidR="00505BB6" w:rsidRPr="00B64198" w:rsidP="00867813" w14:paraId="22C5E5A4" w14:textId="77777777">
            <w:pPr>
              <w:pStyle w:val="GridTableX"/>
              <w:jc w:val="both"/>
              <w:rPr>
                <w:b w:val="0"/>
              </w:rPr>
            </w:pPr>
            <w:r>
              <w:rPr>
                <w:b w:val="0"/>
              </w:rPr>
              <w:t>1.1. </w:t>
            </w:r>
            <w:r w:rsidRPr="00B64198">
              <w:rPr>
                <w:b w:val="0"/>
              </w:rPr>
              <w:t>jaunu pētnieku skaits atbalstītajās vienībās (PLE) (i.1.1.1.bk (CO24))</w:t>
            </w:r>
            <w:r>
              <w:rPr>
                <w:b w:val="0"/>
              </w:rPr>
              <w:t>;</w:t>
            </w:r>
          </w:p>
          <w:p w:rsidR="00505BB6" w:rsidRPr="00B64198" w:rsidP="00867813" w14:paraId="1D079401" w14:textId="77777777">
            <w:pPr>
              <w:pStyle w:val="GridTableX"/>
              <w:jc w:val="both"/>
              <w:rPr>
                <w:b w:val="0"/>
              </w:rPr>
            </w:pPr>
            <w:r>
              <w:rPr>
                <w:b w:val="0"/>
              </w:rPr>
              <w:t>1.2. </w:t>
            </w:r>
            <w:r w:rsidRPr="00B64198">
              <w:rPr>
                <w:b w:val="0"/>
              </w:rPr>
              <w:t>privātās investīcijas, kas papildina valsts atbalstu inovācijām vai pētniecības un izstrādes projektiem (i.1.1.1.f)</w:t>
            </w:r>
            <w:r>
              <w:rPr>
                <w:b w:val="0"/>
              </w:rPr>
              <w:t>;</w:t>
            </w:r>
          </w:p>
          <w:p w:rsidR="00505BB6" w:rsidRPr="00E34C8C" w:rsidP="00867813" w14:paraId="46C5B285" w14:textId="77777777">
            <w:pPr>
              <w:pStyle w:val="GridTableX"/>
              <w:jc w:val="both"/>
              <w:rPr>
                <w:b w:val="0"/>
              </w:rPr>
            </w:pPr>
            <w:r>
              <w:rPr>
                <w:b w:val="0"/>
              </w:rPr>
              <w:t>1.3. </w:t>
            </w:r>
            <w:r w:rsidRPr="00E34C8C">
              <w:rPr>
                <w:b w:val="0"/>
              </w:rPr>
              <w:t>jauno produktu un tehnoloģiju skaits, kas ir komercializējami un kuru izstrādei sniegts atbalsts (i.1.1.1.g)</w:t>
            </w:r>
            <w:r>
              <w:rPr>
                <w:b w:val="0"/>
              </w:rPr>
              <w:t>;</w:t>
            </w:r>
          </w:p>
          <w:p w:rsidR="00505BB6" w:rsidRPr="00B64198" w:rsidP="00867813" w14:paraId="295E6F16" w14:textId="77777777">
            <w:pPr>
              <w:pStyle w:val="GridTableX"/>
              <w:jc w:val="both"/>
              <w:rPr>
                <w:b w:val="0"/>
              </w:rPr>
            </w:pPr>
            <w:r>
              <w:rPr>
                <w:b w:val="0"/>
              </w:rPr>
              <w:t>1.4. k</w:t>
            </w:r>
            <w:r w:rsidRPr="00A43D81">
              <w:rPr>
                <w:b w:val="0"/>
              </w:rPr>
              <w:t>omersantu skaits, kuri sadarbojas ar pētniecības organizāciju (i.1.1.1.ck (CO26))</w:t>
            </w:r>
            <w:r>
              <w:rPr>
                <w:b w:val="0"/>
              </w:rPr>
              <w:t>.</w:t>
            </w:r>
          </w:p>
        </w:tc>
        <w:tc>
          <w:tcPr>
            <w:tcW w:w="370" w:type="pct"/>
            <w:vMerge w:val="restart"/>
          </w:tcPr>
          <w:p w:rsidR="00505BB6" w:rsidRPr="00B64198" w:rsidP="00A43D81" w14:paraId="26D85F82" w14:textId="77777777">
            <w:pPr>
              <w:pStyle w:val="GridTableX"/>
              <w:jc w:val="both"/>
              <w:rPr>
                <w:b w:val="0"/>
              </w:rPr>
            </w:pPr>
            <w:r>
              <w:rPr>
                <w:b w:val="0"/>
              </w:rPr>
              <w:t>augsta</w:t>
            </w:r>
          </w:p>
        </w:tc>
        <w:tc>
          <w:tcPr>
            <w:tcW w:w="1967" w:type="pct"/>
          </w:tcPr>
          <w:p w:rsidR="00505BB6" w:rsidRPr="00B64198" w:rsidP="001D4D5A" w14:paraId="55D4C0C3" w14:textId="77777777">
            <w:pPr>
              <w:pStyle w:val="GridTableX"/>
              <w:ind w:firstLine="0"/>
              <w:jc w:val="both"/>
              <w:rPr>
                <w:b w:val="0"/>
              </w:rPr>
            </w:pPr>
            <w:r>
              <w:rPr>
                <w:b w:val="0"/>
              </w:rPr>
              <w:t>Vērtēšanas kritēriju un to piemērošanas metodikas aktualizācija Praktiskas ievirzes pētījumu programmas ietvaros</w:t>
            </w:r>
          </w:p>
        </w:tc>
        <w:tc>
          <w:tcPr>
            <w:tcW w:w="763" w:type="pct"/>
          </w:tcPr>
          <w:p w:rsidR="00505BB6" w:rsidRPr="00B64198" w:rsidP="0039527D" w14:paraId="5DF3DE11" w14:textId="77777777">
            <w:pPr>
              <w:pStyle w:val="GridTableX"/>
              <w:rPr>
                <w:b w:val="0"/>
              </w:rPr>
            </w:pPr>
            <w:r>
              <w:rPr>
                <w:b w:val="0"/>
              </w:rPr>
              <w:t xml:space="preserve">Atbildīgā iestāde </w:t>
            </w:r>
          </w:p>
        </w:tc>
        <w:tc>
          <w:tcPr>
            <w:tcW w:w="577" w:type="pct"/>
            <w:vMerge w:val="restart"/>
            <w:vAlign w:val="center"/>
          </w:tcPr>
          <w:p w:rsidR="00505BB6" w:rsidRPr="00B64198" w:rsidP="001D4D5A" w14:paraId="6F9B1B39" w14:textId="47BC4B77">
            <w:pPr>
              <w:pStyle w:val="GridTableX"/>
              <w:ind w:firstLine="0"/>
              <w:jc w:val="both"/>
              <w:rPr>
                <w:b w:val="0"/>
              </w:rPr>
            </w:pPr>
            <w:r>
              <w:rPr>
                <w:b w:val="0"/>
              </w:rPr>
              <w:t xml:space="preserve">2018. gada </w:t>
            </w:r>
            <w:r w:rsidR="00371166">
              <w:rPr>
                <w:b w:val="0"/>
              </w:rPr>
              <w:t>februāris</w:t>
            </w:r>
          </w:p>
        </w:tc>
      </w:tr>
      <w:tr w14:paraId="66D3AC0D" w14:textId="77777777" w:rsidTr="001D4D5A">
        <w:tblPrEx>
          <w:tblW w:w="5000" w:type="pct"/>
          <w:tblLook w:val="04A0"/>
        </w:tblPrEx>
        <w:tc>
          <w:tcPr>
            <w:tcW w:w="324" w:type="pct"/>
            <w:vMerge/>
            <w:shd w:val="clear" w:color="auto" w:fill="EFEDED"/>
          </w:tcPr>
          <w:p w:rsidR="00505BB6" w:rsidP="00844F01" w14:paraId="6B41E7E4" w14:textId="77777777">
            <w:pPr>
              <w:pStyle w:val="GridTableX"/>
              <w:jc w:val="right"/>
            </w:pPr>
          </w:p>
        </w:tc>
        <w:tc>
          <w:tcPr>
            <w:tcW w:w="999" w:type="pct"/>
            <w:vMerge/>
          </w:tcPr>
          <w:p w:rsidR="00505BB6" w:rsidRPr="00B64198" w:rsidP="00A43D81" w14:paraId="5A6A10B6" w14:textId="77777777">
            <w:pPr>
              <w:pStyle w:val="GridTableX"/>
              <w:jc w:val="left"/>
              <w:rPr>
                <w:b w:val="0"/>
              </w:rPr>
            </w:pPr>
          </w:p>
        </w:tc>
        <w:tc>
          <w:tcPr>
            <w:tcW w:w="370" w:type="pct"/>
            <w:vMerge/>
          </w:tcPr>
          <w:p w:rsidR="00505BB6" w:rsidP="00844F01" w14:paraId="320FEBC3" w14:textId="77777777">
            <w:pPr>
              <w:pStyle w:val="GridTableX"/>
              <w:rPr>
                <w:b w:val="0"/>
              </w:rPr>
            </w:pPr>
          </w:p>
        </w:tc>
        <w:tc>
          <w:tcPr>
            <w:tcW w:w="1967" w:type="pct"/>
          </w:tcPr>
          <w:p w:rsidR="00505BB6" w:rsidP="001D4D5A" w14:paraId="27D462EB" w14:textId="77777777">
            <w:pPr>
              <w:pStyle w:val="GridTableX"/>
              <w:ind w:firstLine="0"/>
              <w:jc w:val="both"/>
              <w:rPr>
                <w:b w:val="0"/>
              </w:rPr>
            </w:pPr>
            <w:r>
              <w:rPr>
                <w:b w:val="0"/>
              </w:rPr>
              <w:t>Pēcdoktorantūras pētījumu programmas  atlases nolikuma, tai skaitā vērtēšanas kritēriju un to piemērošanas metodika, aktualizācija</w:t>
            </w:r>
          </w:p>
        </w:tc>
        <w:tc>
          <w:tcPr>
            <w:tcW w:w="763" w:type="pct"/>
          </w:tcPr>
          <w:p w:rsidR="00505BB6" w:rsidP="00844F01" w14:paraId="19E3AB5D" w14:textId="77777777">
            <w:pPr>
              <w:pStyle w:val="GridTableX"/>
              <w:rPr>
                <w:b w:val="0"/>
              </w:rPr>
            </w:pPr>
            <w:r>
              <w:rPr>
                <w:b w:val="0"/>
              </w:rPr>
              <w:t>VIAA, IZM, Atbildīgā iestāde</w:t>
            </w:r>
          </w:p>
        </w:tc>
        <w:tc>
          <w:tcPr>
            <w:tcW w:w="577" w:type="pct"/>
            <w:vMerge/>
            <w:vAlign w:val="center"/>
          </w:tcPr>
          <w:p w:rsidR="00505BB6" w:rsidRPr="008F1B34" w:rsidP="00081CDA" w14:paraId="4E31C808" w14:textId="77777777">
            <w:pPr>
              <w:pStyle w:val="GridTableX"/>
              <w:rPr>
                <w:b w:val="0"/>
                <w:highlight w:val="yellow"/>
              </w:rPr>
            </w:pPr>
          </w:p>
        </w:tc>
      </w:tr>
      <w:tr w14:paraId="3EE8CBDF" w14:textId="77777777" w:rsidTr="001D4D5A">
        <w:tblPrEx>
          <w:tblW w:w="5000" w:type="pct"/>
          <w:tblLook w:val="04A0"/>
        </w:tblPrEx>
        <w:tc>
          <w:tcPr>
            <w:tcW w:w="324" w:type="pct"/>
            <w:vMerge/>
            <w:shd w:val="clear" w:color="auto" w:fill="EFEDED"/>
          </w:tcPr>
          <w:p w:rsidR="00505BB6" w:rsidP="00505BB6" w14:paraId="62C9E23F" w14:textId="77777777">
            <w:pPr>
              <w:pStyle w:val="GridTableX"/>
              <w:jc w:val="right"/>
            </w:pPr>
          </w:p>
        </w:tc>
        <w:tc>
          <w:tcPr>
            <w:tcW w:w="999" w:type="pct"/>
            <w:vMerge/>
          </w:tcPr>
          <w:p w:rsidR="00505BB6" w:rsidRPr="00B64198" w:rsidP="00505BB6" w14:paraId="75F9646C" w14:textId="77777777">
            <w:pPr>
              <w:pStyle w:val="GridTableX"/>
              <w:jc w:val="left"/>
              <w:rPr>
                <w:b w:val="0"/>
              </w:rPr>
            </w:pPr>
          </w:p>
        </w:tc>
        <w:tc>
          <w:tcPr>
            <w:tcW w:w="370" w:type="pct"/>
            <w:vMerge/>
          </w:tcPr>
          <w:p w:rsidR="00505BB6" w:rsidP="00505BB6" w14:paraId="7B8E85C2" w14:textId="77777777">
            <w:pPr>
              <w:pStyle w:val="GridTableX"/>
              <w:rPr>
                <w:b w:val="0"/>
              </w:rPr>
            </w:pPr>
          </w:p>
        </w:tc>
        <w:tc>
          <w:tcPr>
            <w:tcW w:w="1967" w:type="pct"/>
          </w:tcPr>
          <w:p w:rsidR="00505BB6" w:rsidP="001D4D5A" w14:paraId="25AE4D81" w14:textId="2569940A">
            <w:pPr>
              <w:pStyle w:val="GridTableX"/>
              <w:ind w:firstLine="0"/>
              <w:jc w:val="both"/>
              <w:rPr>
                <w:b w:val="0"/>
              </w:rPr>
            </w:pPr>
            <w:r>
              <w:rPr>
                <w:b w:val="0"/>
              </w:rPr>
              <w:t>Otrās pētniecības pieteikumu atlases kārtas izsludināšana Pēcdoktorantūras pētījumu programmas  ietvaros</w:t>
            </w:r>
          </w:p>
        </w:tc>
        <w:tc>
          <w:tcPr>
            <w:tcW w:w="763" w:type="pct"/>
          </w:tcPr>
          <w:p w:rsidR="00505BB6" w:rsidP="00505BB6" w14:paraId="2AE0023D" w14:textId="5E60F828">
            <w:pPr>
              <w:pStyle w:val="GridTableX"/>
              <w:rPr>
                <w:b w:val="0"/>
              </w:rPr>
            </w:pPr>
            <w:r>
              <w:rPr>
                <w:b w:val="0"/>
              </w:rPr>
              <w:t>VIAA</w:t>
            </w:r>
          </w:p>
        </w:tc>
        <w:tc>
          <w:tcPr>
            <w:tcW w:w="577" w:type="pct"/>
            <w:vMerge/>
            <w:vAlign w:val="center"/>
          </w:tcPr>
          <w:p w:rsidR="00505BB6" w:rsidP="00505BB6" w14:paraId="6EC2B6B9" w14:textId="77777777">
            <w:pPr>
              <w:pStyle w:val="GridTableX"/>
              <w:rPr>
                <w:b w:val="0"/>
              </w:rPr>
            </w:pPr>
          </w:p>
        </w:tc>
      </w:tr>
      <w:tr w14:paraId="117A96FF" w14:textId="77777777" w:rsidTr="001D4D5A">
        <w:tblPrEx>
          <w:tblW w:w="5000" w:type="pct"/>
          <w:tblLook w:val="04A0"/>
        </w:tblPrEx>
        <w:tc>
          <w:tcPr>
            <w:tcW w:w="324" w:type="pct"/>
            <w:vMerge/>
            <w:shd w:val="clear" w:color="auto" w:fill="EFEDED"/>
          </w:tcPr>
          <w:p w:rsidR="00505BB6" w:rsidP="00505BB6" w14:paraId="617C640F" w14:textId="77777777">
            <w:pPr>
              <w:pStyle w:val="GridTableX"/>
              <w:jc w:val="right"/>
            </w:pPr>
          </w:p>
        </w:tc>
        <w:tc>
          <w:tcPr>
            <w:tcW w:w="999" w:type="pct"/>
            <w:vMerge/>
          </w:tcPr>
          <w:p w:rsidR="00505BB6" w:rsidRPr="00B64198" w:rsidP="00505BB6" w14:paraId="7C177E85" w14:textId="77777777">
            <w:pPr>
              <w:pStyle w:val="GridTableX"/>
              <w:jc w:val="left"/>
              <w:rPr>
                <w:b w:val="0"/>
              </w:rPr>
            </w:pPr>
          </w:p>
        </w:tc>
        <w:tc>
          <w:tcPr>
            <w:tcW w:w="370" w:type="pct"/>
            <w:vMerge/>
          </w:tcPr>
          <w:p w:rsidR="00505BB6" w:rsidP="00505BB6" w14:paraId="2C5DA3D0" w14:textId="77777777">
            <w:pPr>
              <w:pStyle w:val="GridTableX"/>
              <w:rPr>
                <w:b w:val="0"/>
              </w:rPr>
            </w:pPr>
          </w:p>
        </w:tc>
        <w:tc>
          <w:tcPr>
            <w:tcW w:w="1967" w:type="pct"/>
          </w:tcPr>
          <w:p w:rsidR="00505BB6" w:rsidP="001D4D5A" w14:paraId="1F6220D5" w14:textId="77777777">
            <w:pPr>
              <w:pStyle w:val="GridTableX"/>
              <w:ind w:firstLine="0"/>
              <w:jc w:val="both"/>
              <w:rPr>
                <w:b w:val="0"/>
              </w:rPr>
            </w:pPr>
            <w:r>
              <w:rPr>
                <w:b w:val="0"/>
              </w:rPr>
              <w:t xml:space="preserve">Praktiskas ievirzes pētījumu programmas projektu iesniegumu vērtēšanas kritēriju apstiprināšana UK. </w:t>
            </w:r>
          </w:p>
        </w:tc>
        <w:tc>
          <w:tcPr>
            <w:tcW w:w="763" w:type="pct"/>
          </w:tcPr>
          <w:p w:rsidR="00505BB6" w:rsidP="00505BB6" w14:paraId="12923CAF" w14:textId="77777777">
            <w:pPr>
              <w:pStyle w:val="GridTableX"/>
              <w:rPr>
                <w:b w:val="0"/>
              </w:rPr>
            </w:pPr>
            <w:r>
              <w:rPr>
                <w:b w:val="0"/>
              </w:rPr>
              <w:t>Atbildīgā iestāde</w:t>
            </w:r>
          </w:p>
        </w:tc>
        <w:tc>
          <w:tcPr>
            <w:tcW w:w="577" w:type="pct"/>
            <w:vMerge w:val="restart"/>
            <w:vAlign w:val="center"/>
          </w:tcPr>
          <w:p w:rsidR="00505BB6" w:rsidRPr="00B64198" w:rsidP="001D4D5A" w14:paraId="0F2ECCFC" w14:textId="29ACA929">
            <w:pPr>
              <w:pStyle w:val="GridTableX"/>
              <w:ind w:firstLine="0"/>
              <w:jc w:val="both"/>
              <w:rPr>
                <w:b w:val="0"/>
              </w:rPr>
            </w:pPr>
            <w:r>
              <w:rPr>
                <w:b w:val="0"/>
              </w:rPr>
              <w:t>2018. gada I ceturksnis</w:t>
            </w:r>
          </w:p>
        </w:tc>
      </w:tr>
      <w:tr w14:paraId="1F9BE3D3" w14:textId="77777777" w:rsidTr="001D4D5A">
        <w:tblPrEx>
          <w:tblW w:w="5000" w:type="pct"/>
          <w:tblLook w:val="04A0"/>
        </w:tblPrEx>
        <w:tc>
          <w:tcPr>
            <w:tcW w:w="324" w:type="pct"/>
            <w:vMerge/>
            <w:shd w:val="clear" w:color="auto" w:fill="EFEDED"/>
          </w:tcPr>
          <w:p w:rsidR="00505BB6" w:rsidP="00505BB6" w14:paraId="26FF7800" w14:textId="77777777">
            <w:pPr>
              <w:pStyle w:val="GridTableX"/>
              <w:jc w:val="right"/>
            </w:pPr>
          </w:p>
        </w:tc>
        <w:tc>
          <w:tcPr>
            <w:tcW w:w="999" w:type="pct"/>
            <w:vMerge/>
          </w:tcPr>
          <w:p w:rsidR="00505BB6" w:rsidRPr="00B64198" w:rsidP="00505BB6" w14:paraId="31AB56CB" w14:textId="77777777">
            <w:pPr>
              <w:pStyle w:val="GridTableX"/>
              <w:jc w:val="left"/>
              <w:rPr>
                <w:b w:val="0"/>
              </w:rPr>
            </w:pPr>
          </w:p>
        </w:tc>
        <w:tc>
          <w:tcPr>
            <w:tcW w:w="370" w:type="pct"/>
            <w:vMerge/>
          </w:tcPr>
          <w:p w:rsidR="00505BB6" w:rsidP="00505BB6" w14:paraId="152D6578" w14:textId="77777777">
            <w:pPr>
              <w:pStyle w:val="GridTableX"/>
              <w:rPr>
                <w:b w:val="0"/>
              </w:rPr>
            </w:pPr>
          </w:p>
        </w:tc>
        <w:tc>
          <w:tcPr>
            <w:tcW w:w="1967" w:type="pct"/>
          </w:tcPr>
          <w:p w:rsidR="00505BB6" w:rsidP="001D4D5A" w14:paraId="099A5728" w14:textId="77777777">
            <w:pPr>
              <w:pStyle w:val="GridTableX"/>
              <w:ind w:firstLine="0"/>
              <w:jc w:val="both"/>
              <w:rPr>
                <w:b w:val="0"/>
              </w:rPr>
            </w:pPr>
            <w:r>
              <w:rPr>
                <w:b w:val="0"/>
              </w:rPr>
              <w:t>Praktiskas ievirzes pētījumu programmas atlases nolikuma otrai atlases kārtai izstrāde un saskaņošana</w:t>
            </w:r>
          </w:p>
        </w:tc>
        <w:tc>
          <w:tcPr>
            <w:tcW w:w="763" w:type="pct"/>
          </w:tcPr>
          <w:p w:rsidR="00505BB6" w:rsidP="00505BB6" w14:paraId="010E539B" w14:textId="77777777">
            <w:pPr>
              <w:pStyle w:val="GridTableX"/>
              <w:rPr>
                <w:b w:val="0"/>
              </w:rPr>
            </w:pPr>
            <w:r>
              <w:rPr>
                <w:b w:val="0"/>
              </w:rPr>
              <w:t xml:space="preserve">CFLA,, Atbildīgā iestāde, IZM </w:t>
            </w:r>
          </w:p>
        </w:tc>
        <w:tc>
          <w:tcPr>
            <w:tcW w:w="577" w:type="pct"/>
            <w:vMerge/>
            <w:vAlign w:val="center"/>
          </w:tcPr>
          <w:p w:rsidR="00505BB6" w:rsidRPr="00B64198" w:rsidP="00505BB6" w14:paraId="1DAA0C05" w14:textId="77777777">
            <w:pPr>
              <w:pStyle w:val="GridTableX"/>
              <w:rPr>
                <w:b w:val="0"/>
              </w:rPr>
            </w:pPr>
          </w:p>
        </w:tc>
      </w:tr>
      <w:tr w14:paraId="56390BE2" w14:textId="77777777" w:rsidTr="001D4D5A">
        <w:tblPrEx>
          <w:tblW w:w="5000" w:type="pct"/>
          <w:tblLook w:val="04A0"/>
        </w:tblPrEx>
        <w:tc>
          <w:tcPr>
            <w:tcW w:w="324" w:type="pct"/>
            <w:vMerge/>
            <w:shd w:val="clear" w:color="auto" w:fill="EFEDED"/>
          </w:tcPr>
          <w:p w:rsidR="00505BB6" w:rsidP="00505BB6" w14:paraId="3A7FE9FC" w14:textId="77777777">
            <w:pPr>
              <w:pStyle w:val="GridTableX"/>
              <w:jc w:val="right"/>
            </w:pPr>
          </w:p>
        </w:tc>
        <w:tc>
          <w:tcPr>
            <w:tcW w:w="999" w:type="pct"/>
            <w:vMerge/>
          </w:tcPr>
          <w:p w:rsidR="00505BB6" w:rsidRPr="00B64198" w:rsidP="00505BB6" w14:paraId="58403FF3" w14:textId="77777777">
            <w:pPr>
              <w:pStyle w:val="GridTableX"/>
              <w:jc w:val="left"/>
              <w:rPr>
                <w:b w:val="0"/>
              </w:rPr>
            </w:pPr>
          </w:p>
        </w:tc>
        <w:tc>
          <w:tcPr>
            <w:tcW w:w="370" w:type="pct"/>
            <w:vMerge/>
          </w:tcPr>
          <w:p w:rsidR="00505BB6" w:rsidP="00505BB6" w14:paraId="33E235E1" w14:textId="77777777">
            <w:pPr>
              <w:pStyle w:val="GridTableX"/>
              <w:rPr>
                <w:b w:val="0"/>
              </w:rPr>
            </w:pPr>
          </w:p>
        </w:tc>
        <w:tc>
          <w:tcPr>
            <w:tcW w:w="1967" w:type="pct"/>
          </w:tcPr>
          <w:p w:rsidR="00505BB6" w:rsidP="001D4D5A" w14:paraId="0839C219" w14:textId="3F029892">
            <w:pPr>
              <w:pStyle w:val="GridTableX"/>
              <w:ind w:firstLine="0"/>
              <w:jc w:val="both"/>
              <w:rPr>
                <w:b w:val="0"/>
              </w:rPr>
            </w:pPr>
            <w:r>
              <w:rPr>
                <w:b w:val="0"/>
              </w:rPr>
              <w:t>DP “</w:t>
            </w:r>
            <w:r w:rsidRPr="003E71CB">
              <w:rPr>
                <w:b w:val="0"/>
              </w:rPr>
              <w:t>Izaugsme un nodarbinātība</w:t>
            </w:r>
            <w:r>
              <w:rPr>
                <w:b w:val="0"/>
              </w:rPr>
              <w:t>”</w:t>
            </w:r>
            <w:r w:rsidRPr="003E71CB">
              <w:rPr>
                <w:b w:val="0"/>
              </w:rPr>
              <w:t xml:space="preserve"> grozījumu</w:t>
            </w:r>
            <w:r>
              <w:rPr>
                <w:b w:val="0"/>
              </w:rPr>
              <w:t>, kas paredz iznākuma rādītāju vērtību precizēšanu un jaunu rādītāju definēšanu,</w:t>
            </w:r>
            <w:r w:rsidRPr="003E71CB">
              <w:rPr>
                <w:b w:val="0"/>
              </w:rPr>
              <w:t xml:space="preserve"> izstrāde</w:t>
            </w:r>
          </w:p>
        </w:tc>
        <w:tc>
          <w:tcPr>
            <w:tcW w:w="763" w:type="pct"/>
          </w:tcPr>
          <w:p w:rsidR="00505BB6" w:rsidP="00505BB6" w14:paraId="2AD7E5E4" w14:textId="77777777">
            <w:pPr>
              <w:pStyle w:val="GridTableX"/>
              <w:rPr>
                <w:b w:val="0"/>
              </w:rPr>
            </w:pPr>
            <w:r>
              <w:rPr>
                <w:b w:val="0"/>
              </w:rPr>
              <w:t>Atbildīgā iestāde</w:t>
            </w:r>
          </w:p>
        </w:tc>
        <w:tc>
          <w:tcPr>
            <w:tcW w:w="577" w:type="pct"/>
            <w:vMerge/>
            <w:vAlign w:val="center"/>
          </w:tcPr>
          <w:p w:rsidR="00505BB6" w:rsidP="00505BB6" w14:paraId="379B2722" w14:textId="77777777">
            <w:pPr>
              <w:pStyle w:val="GridTableX"/>
              <w:rPr>
                <w:b w:val="0"/>
              </w:rPr>
            </w:pPr>
          </w:p>
        </w:tc>
      </w:tr>
      <w:tr w14:paraId="4648F864" w14:textId="77777777" w:rsidTr="001D4D5A">
        <w:tblPrEx>
          <w:tblW w:w="5000" w:type="pct"/>
          <w:tblLook w:val="04A0"/>
        </w:tblPrEx>
        <w:tc>
          <w:tcPr>
            <w:tcW w:w="324" w:type="pct"/>
            <w:vMerge/>
            <w:shd w:val="clear" w:color="auto" w:fill="EFEDED"/>
          </w:tcPr>
          <w:p w:rsidR="00505BB6" w:rsidP="00505BB6" w14:paraId="6589B058" w14:textId="77777777">
            <w:pPr>
              <w:pStyle w:val="GridTableX"/>
              <w:jc w:val="right"/>
            </w:pPr>
          </w:p>
        </w:tc>
        <w:tc>
          <w:tcPr>
            <w:tcW w:w="999" w:type="pct"/>
            <w:vMerge/>
          </w:tcPr>
          <w:p w:rsidR="00505BB6" w:rsidRPr="00B64198" w:rsidP="00505BB6" w14:paraId="6E3F189A" w14:textId="77777777">
            <w:pPr>
              <w:pStyle w:val="GridTableX"/>
              <w:jc w:val="left"/>
              <w:rPr>
                <w:b w:val="0"/>
              </w:rPr>
            </w:pPr>
          </w:p>
        </w:tc>
        <w:tc>
          <w:tcPr>
            <w:tcW w:w="370" w:type="pct"/>
            <w:vMerge/>
          </w:tcPr>
          <w:p w:rsidR="00505BB6" w:rsidP="00505BB6" w14:paraId="059FB6B9" w14:textId="77777777">
            <w:pPr>
              <w:pStyle w:val="GridTableX"/>
              <w:rPr>
                <w:b w:val="0"/>
              </w:rPr>
            </w:pPr>
          </w:p>
        </w:tc>
        <w:tc>
          <w:tcPr>
            <w:tcW w:w="1967" w:type="pct"/>
          </w:tcPr>
          <w:p w:rsidR="00505BB6" w:rsidP="001D4D5A" w14:paraId="5B31848A" w14:textId="77777777">
            <w:pPr>
              <w:pStyle w:val="GridTableX"/>
              <w:ind w:firstLine="0"/>
              <w:jc w:val="both"/>
              <w:rPr>
                <w:b w:val="0"/>
              </w:rPr>
            </w:pPr>
            <w:r>
              <w:rPr>
                <w:b w:val="0"/>
              </w:rPr>
              <w:t>DP “</w:t>
            </w:r>
            <w:r w:rsidRPr="003E71CB">
              <w:rPr>
                <w:b w:val="0"/>
              </w:rPr>
              <w:t>Izaugsme un nodarbinātība</w:t>
            </w:r>
            <w:r>
              <w:rPr>
                <w:b w:val="0"/>
              </w:rPr>
              <w:t>”</w:t>
            </w:r>
            <w:r w:rsidRPr="003E71CB">
              <w:rPr>
                <w:b w:val="0"/>
              </w:rPr>
              <w:t xml:space="preserve"> grozījumu</w:t>
            </w:r>
            <w:r>
              <w:rPr>
                <w:b w:val="0"/>
              </w:rPr>
              <w:t xml:space="preserve"> virzība saskaņošanai EK</w:t>
            </w:r>
          </w:p>
        </w:tc>
        <w:tc>
          <w:tcPr>
            <w:tcW w:w="763" w:type="pct"/>
          </w:tcPr>
          <w:p w:rsidR="00505BB6" w:rsidP="00505BB6" w14:paraId="15B677DB" w14:textId="77777777">
            <w:pPr>
              <w:pStyle w:val="GridTableX"/>
              <w:rPr>
                <w:b w:val="0"/>
              </w:rPr>
            </w:pPr>
            <w:r>
              <w:rPr>
                <w:b w:val="0"/>
              </w:rPr>
              <w:t>Vadošā iestāde</w:t>
            </w:r>
          </w:p>
        </w:tc>
        <w:tc>
          <w:tcPr>
            <w:tcW w:w="577" w:type="pct"/>
            <w:vMerge/>
            <w:vAlign w:val="center"/>
          </w:tcPr>
          <w:p w:rsidR="00505BB6" w:rsidP="00505BB6" w14:paraId="1420B83F" w14:textId="77777777">
            <w:pPr>
              <w:pStyle w:val="GridTableX"/>
              <w:rPr>
                <w:b w:val="0"/>
              </w:rPr>
            </w:pPr>
          </w:p>
        </w:tc>
      </w:tr>
      <w:tr w14:paraId="2D11A6FB" w14:textId="77777777" w:rsidTr="001D4D5A">
        <w:tblPrEx>
          <w:tblW w:w="5000" w:type="pct"/>
          <w:tblLook w:val="04A0"/>
        </w:tblPrEx>
        <w:tc>
          <w:tcPr>
            <w:tcW w:w="324" w:type="pct"/>
            <w:vMerge/>
            <w:shd w:val="clear" w:color="auto" w:fill="EFEDED"/>
          </w:tcPr>
          <w:p w:rsidR="00505BB6" w:rsidP="00505BB6" w14:paraId="786DF44F" w14:textId="77777777">
            <w:pPr>
              <w:pStyle w:val="GridTableX"/>
              <w:jc w:val="right"/>
            </w:pPr>
          </w:p>
        </w:tc>
        <w:tc>
          <w:tcPr>
            <w:tcW w:w="999" w:type="pct"/>
            <w:vMerge/>
          </w:tcPr>
          <w:p w:rsidR="00505BB6" w:rsidRPr="00B64198" w:rsidP="00505BB6" w14:paraId="2D426EB1" w14:textId="77777777">
            <w:pPr>
              <w:pStyle w:val="GridTableX"/>
              <w:jc w:val="left"/>
              <w:rPr>
                <w:b w:val="0"/>
              </w:rPr>
            </w:pPr>
          </w:p>
        </w:tc>
        <w:tc>
          <w:tcPr>
            <w:tcW w:w="370" w:type="pct"/>
            <w:vMerge/>
          </w:tcPr>
          <w:p w:rsidR="00505BB6" w:rsidP="00505BB6" w14:paraId="689D36AB" w14:textId="77777777">
            <w:pPr>
              <w:pStyle w:val="GridTableX"/>
              <w:rPr>
                <w:b w:val="0"/>
              </w:rPr>
            </w:pPr>
          </w:p>
        </w:tc>
        <w:tc>
          <w:tcPr>
            <w:tcW w:w="1967" w:type="pct"/>
          </w:tcPr>
          <w:p w:rsidR="00505BB6" w:rsidP="001D4D5A" w14:paraId="72472B10" w14:textId="77777777">
            <w:pPr>
              <w:pStyle w:val="GridTableX"/>
              <w:ind w:firstLine="0"/>
              <w:jc w:val="both"/>
              <w:rPr>
                <w:b w:val="0"/>
              </w:rPr>
            </w:pPr>
            <w:r>
              <w:rPr>
                <w:b w:val="0"/>
              </w:rPr>
              <w:t>MK noteikumu Nr. 34 grozījumi (MK lieta)</w:t>
            </w:r>
          </w:p>
        </w:tc>
        <w:tc>
          <w:tcPr>
            <w:tcW w:w="763" w:type="pct"/>
            <w:vMerge w:val="restart"/>
          </w:tcPr>
          <w:p w:rsidR="00505BB6" w:rsidP="00505BB6" w14:paraId="2F4C0910" w14:textId="77777777">
            <w:pPr>
              <w:pStyle w:val="GridTableX"/>
              <w:rPr>
                <w:b w:val="0"/>
              </w:rPr>
            </w:pPr>
            <w:r>
              <w:rPr>
                <w:b w:val="0"/>
              </w:rPr>
              <w:t>Atbildīgā iestāde</w:t>
            </w:r>
          </w:p>
        </w:tc>
        <w:tc>
          <w:tcPr>
            <w:tcW w:w="577" w:type="pct"/>
            <w:vMerge/>
            <w:vAlign w:val="center"/>
          </w:tcPr>
          <w:p w:rsidR="00505BB6" w:rsidRPr="00B64198" w:rsidP="00505BB6" w14:paraId="13047538" w14:textId="77777777">
            <w:pPr>
              <w:pStyle w:val="GridTableX"/>
              <w:rPr>
                <w:b w:val="0"/>
              </w:rPr>
            </w:pPr>
          </w:p>
        </w:tc>
      </w:tr>
      <w:tr w14:paraId="701D2F19" w14:textId="77777777" w:rsidTr="001D4D5A">
        <w:tblPrEx>
          <w:tblW w:w="5000" w:type="pct"/>
          <w:tblLook w:val="04A0"/>
        </w:tblPrEx>
        <w:tc>
          <w:tcPr>
            <w:tcW w:w="324" w:type="pct"/>
            <w:vMerge/>
            <w:shd w:val="clear" w:color="auto" w:fill="EFEDED"/>
          </w:tcPr>
          <w:p w:rsidR="00505BB6" w:rsidP="00505BB6" w14:paraId="193FC985" w14:textId="77777777">
            <w:pPr>
              <w:pStyle w:val="GridTableX"/>
              <w:jc w:val="right"/>
            </w:pPr>
          </w:p>
        </w:tc>
        <w:tc>
          <w:tcPr>
            <w:tcW w:w="999" w:type="pct"/>
            <w:vMerge/>
          </w:tcPr>
          <w:p w:rsidR="00505BB6" w:rsidRPr="00B64198" w:rsidP="00505BB6" w14:paraId="3F22C118" w14:textId="77777777">
            <w:pPr>
              <w:pStyle w:val="GridTableX"/>
              <w:jc w:val="left"/>
              <w:rPr>
                <w:b w:val="0"/>
              </w:rPr>
            </w:pPr>
          </w:p>
        </w:tc>
        <w:tc>
          <w:tcPr>
            <w:tcW w:w="370" w:type="pct"/>
            <w:vMerge/>
          </w:tcPr>
          <w:p w:rsidR="00505BB6" w:rsidRPr="00B64198" w:rsidP="00505BB6" w14:paraId="33567E07" w14:textId="77777777">
            <w:pPr>
              <w:pStyle w:val="GridTableX"/>
              <w:rPr>
                <w:b w:val="0"/>
              </w:rPr>
            </w:pPr>
          </w:p>
        </w:tc>
        <w:tc>
          <w:tcPr>
            <w:tcW w:w="1967" w:type="pct"/>
          </w:tcPr>
          <w:p w:rsidR="00505BB6" w:rsidP="001D4D5A" w14:paraId="182D90E3" w14:textId="77777777">
            <w:pPr>
              <w:pStyle w:val="GridTableX"/>
              <w:ind w:firstLine="0"/>
              <w:jc w:val="both"/>
              <w:rPr>
                <w:b w:val="0"/>
              </w:rPr>
            </w:pPr>
            <w:r>
              <w:rPr>
                <w:b w:val="0"/>
              </w:rPr>
              <w:t>MK noteikumu Nr. 50 grozījumi (MK lieta)</w:t>
            </w:r>
          </w:p>
        </w:tc>
        <w:tc>
          <w:tcPr>
            <w:tcW w:w="763" w:type="pct"/>
            <w:vMerge/>
          </w:tcPr>
          <w:p w:rsidR="00505BB6" w:rsidP="00505BB6" w14:paraId="271C0CBD" w14:textId="77777777">
            <w:pPr>
              <w:pStyle w:val="GridTableX"/>
              <w:rPr>
                <w:b w:val="0"/>
              </w:rPr>
            </w:pPr>
          </w:p>
        </w:tc>
        <w:tc>
          <w:tcPr>
            <w:tcW w:w="577" w:type="pct"/>
            <w:vMerge/>
            <w:vAlign w:val="center"/>
          </w:tcPr>
          <w:p w:rsidR="00505BB6" w:rsidRPr="00B64198" w:rsidP="00505BB6" w14:paraId="7A2171F1" w14:textId="77777777">
            <w:pPr>
              <w:pStyle w:val="GridTableX"/>
              <w:rPr>
                <w:b w:val="0"/>
              </w:rPr>
            </w:pPr>
          </w:p>
        </w:tc>
      </w:tr>
      <w:tr w14:paraId="0CFD6424" w14:textId="77777777" w:rsidTr="001D4D5A">
        <w:tblPrEx>
          <w:tblW w:w="5000" w:type="pct"/>
          <w:tblLook w:val="04A0"/>
        </w:tblPrEx>
        <w:tc>
          <w:tcPr>
            <w:tcW w:w="324" w:type="pct"/>
            <w:vMerge/>
            <w:shd w:val="clear" w:color="auto" w:fill="EFEDED"/>
          </w:tcPr>
          <w:p w:rsidR="00505BB6" w:rsidP="00505BB6" w14:paraId="13BEFD28" w14:textId="77777777">
            <w:pPr>
              <w:pStyle w:val="GridTableX"/>
              <w:jc w:val="right"/>
            </w:pPr>
          </w:p>
        </w:tc>
        <w:tc>
          <w:tcPr>
            <w:tcW w:w="999" w:type="pct"/>
            <w:vMerge/>
          </w:tcPr>
          <w:p w:rsidR="00505BB6" w:rsidRPr="00B64198" w:rsidP="00505BB6" w14:paraId="2102B336" w14:textId="77777777">
            <w:pPr>
              <w:pStyle w:val="GridTableX"/>
              <w:jc w:val="left"/>
              <w:rPr>
                <w:b w:val="0"/>
              </w:rPr>
            </w:pPr>
          </w:p>
        </w:tc>
        <w:tc>
          <w:tcPr>
            <w:tcW w:w="370" w:type="pct"/>
            <w:vMerge/>
          </w:tcPr>
          <w:p w:rsidR="00505BB6" w:rsidRPr="00B64198" w:rsidP="00505BB6" w14:paraId="7FA1E39F" w14:textId="77777777">
            <w:pPr>
              <w:pStyle w:val="GridTableX"/>
              <w:rPr>
                <w:b w:val="0"/>
              </w:rPr>
            </w:pPr>
          </w:p>
        </w:tc>
        <w:tc>
          <w:tcPr>
            <w:tcW w:w="1967" w:type="pct"/>
          </w:tcPr>
          <w:p w:rsidR="00505BB6" w:rsidP="001D4D5A" w14:paraId="00A65622" w14:textId="77777777">
            <w:pPr>
              <w:pStyle w:val="GridTableX"/>
              <w:ind w:firstLine="0"/>
              <w:jc w:val="both"/>
              <w:rPr>
                <w:b w:val="0"/>
              </w:rPr>
            </w:pPr>
            <w:r>
              <w:rPr>
                <w:b w:val="0"/>
              </w:rPr>
              <w:t>Otrās pētniecības pieteikumu atlases kārtas izsludināšana Praktiskas ievirzes pētījumu programmas ietvaros</w:t>
            </w:r>
          </w:p>
        </w:tc>
        <w:tc>
          <w:tcPr>
            <w:tcW w:w="763" w:type="pct"/>
            <w:tcBorders>
              <w:top w:val="single" w:sz="4" w:space="0" w:color="auto"/>
            </w:tcBorders>
          </w:tcPr>
          <w:p w:rsidR="00505BB6" w:rsidP="00505BB6" w14:paraId="08430423" w14:textId="77777777">
            <w:pPr>
              <w:pStyle w:val="GridTableX"/>
              <w:rPr>
                <w:b w:val="0"/>
              </w:rPr>
            </w:pPr>
            <w:r>
              <w:rPr>
                <w:b w:val="0"/>
              </w:rPr>
              <w:t>CFLA</w:t>
            </w:r>
          </w:p>
        </w:tc>
        <w:tc>
          <w:tcPr>
            <w:tcW w:w="577" w:type="pct"/>
            <w:tcBorders>
              <w:top w:val="single" w:sz="4" w:space="0" w:color="auto"/>
            </w:tcBorders>
            <w:vAlign w:val="center"/>
          </w:tcPr>
          <w:p w:rsidR="00505BB6" w:rsidRPr="00B64198" w:rsidP="001D4D5A" w14:paraId="0E026585" w14:textId="77777777">
            <w:pPr>
              <w:pStyle w:val="GridTableX"/>
              <w:ind w:firstLine="0"/>
              <w:jc w:val="both"/>
              <w:rPr>
                <w:b w:val="0"/>
              </w:rPr>
            </w:pPr>
            <w:r>
              <w:rPr>
                <w:b w:val="0"/>
              </w:rPr>
              <w:t>2018. gada maijs</w:t>
            </w:r>
          </w:p>
        </w:tc>
      </w:tr>
      <w:tr w14:paraId="06F27377" w14:textId="77777777" w:rsidTr="001D4D5A">
        <w:tblPrEx>
          <w:tblW w:w="5000" w:type="pct"/>
          <w:tblLook w:val="04A0"/>
        </w:tblPrEx>
        <w:tc>
          <w:tcPr>
            <w:tcW w:w="324" w:type="pct"/>
            <w:vMerge/>
            <w:shd w:val="clear" w:color="auto" w:fill="EFEDED"/>
          </w:tcPr>
          <w:p w:rsidR="00505BB6" w:rsidP="00505BB6" w14:paraId="6FF7797A" w14:textId="77777777">
            <w:pPr>
              <w:pStyle w:val="GridTableX"/>
              <w:jc w:val="right"/>
            </w:pPr>
          </w:p>
        </w:tc>
        <w:tc>
          <w:tcPr>
            <w:tcW w:w="999" w:type="pct"/>
            <w:vMerge/>
          </w:tcPr>
          <w:p w:rsidR="00505BB6" w:rsidRPr="00B64198" w:rsidP="00505BB6" w14:paraId="03FC2EF4" w14:textId="77777777">
            <w:pPr>
              <w:pStyle w:val="GridTableX"/>
              <w:jc w:val="left"/>
              <w:rPr>
                <w:b w:val="0"/>
              </w:rPr>
            </w:pPr>
          </w:p>
        </w:tc>
        <w:tc>
          <w:tcPr>
            <w:tcW w:w="370" w:type="pct"/>
            <w:vMerge/>
          </w:tcPr>
          <w:p w:rsidR="00505BB6" w:rsidRPr="00B64198" w:rsidP="00505BB6" w14:paraId="7CA1F89D" w14:textId="77777777">
            <w:pPr>
              <w:pStyle w:val="GridTableX"/>
              <w:rPr>
                <w:b w:val="0"/>
              </w:rPr>
            </w:pPr>
          </w:p>
        </w:tc>
        <w:tc>
          <w:tcPr>
            <w:tcW w:w="1967" w:type="pct"/>
          </w:tcPr>
          <w:p w:rsidR="00505BB6" w:rsidP="001D4D5A" w14:paraId="6CCBA528" w14:textId="77777777">
            <w:pPr>
              <w:pStyle w:val="GridTableX"/>
              <w:ind w:firstLine="0"/>
              <w:jc w:val="both"/>
              <w:rPr>
                <w:b w:val="0"/>
              </w:rPr>
            </w:pPr>
            <w:r>
              <w:rPr>
                <w:b w:val="0"/>
              </w:rPr>
              <w:t>Pasākumi ārvalsts pēcdoktorantu vai viespētnieku piesaistei</w:t>
            </w:r>
          </w:p>
        </w:tc>
        <w:tc>
          <w:tcPr>
            <w:tcW w:w="763" w:type="pct"/>
          </w:tcPr>
          <w:p w:rsidR="00505BB6" w:rsidP="00505BB6" w14:paraId="5B8BCEC4" w14:textId="77777777">
            <w:pPr>
              <w:pStyle w:val="GridTableX"/>
              <w:rPr>
                <w:b w:val="0"/>
              </w:rPr>
            </w:pPr>
            <w:r>
              <w:rPr>
                <w:b w:val="0"/>
              </w:rPr>
              <w:t>IZM, VIAA</w:t>
            </w:r>
          </w:p>
        </w:tc>
        <w:tc>
          <w:tcPr>
            <w:tcW w:w="577" w:type="pct"/>
            <w:vMerge w:val="restart"/>
            <w:vAlign w:val="center"/>
          </w:tcPr>
          <w:p w:rsidR="00505BB6" w:rsidRPr="00B64198" w:rsidP="001D4D5A" w14:paraId="1D8809F3" w14:textId="3555F3D6">
            <w:pPr>
              <w:pStyle w:val="GridTableX"/>
              <w:ind w:firstLine="0"/>
              <w:jc w:val="both"/>
              <w:rPr>
                <w:b w:val="0"/>
              </w:rPr>
            </w:pPr>
            <w:r>
              <w:rPr>
                <w:b w:val="0"/>
              </w:rPr>
              <w:t>SAM 1.1.1. īstenošanas periods</w:t>
            </w:r>
          </w:p>
        </w:tc>
      </w:tr>
      <w:tr w14:paraId="64737817" w14:textId="77777777" w:rsidTr="001D4D5A">
        <w:tblPrEx>
          <w:tblW w:w="5000" w:type="pct"/>
          <w:tblLook w:val="04A0"/>
        </w:tblPrEx>
        <w:trPr>
          <w:trHeight w:val="269"/>
        </w:trPr>
        <w:tc>
          <w:tcPr>
            <w:tcW w:w="324" w:type="pct"/>
            <w:vMerge/>
            <w:shd w:val="clear" w:color="auto" w:fill="EFEDED"/>
          </w:tcPr>
          <w:p w:rsidR="00505BB6" w:rsidP="00505BB6" w14:paraId="1E445AF3" w14:textId="77777777">
            <w:pPr>
              <w:pStyle w:val="GridTableX"/>
              <w:jc w:val="right"/>
            </w:pPr>
          </w:p>
        </w:tc>
        <w:tc>
          <w:tcPr>
            <w:tcW w:w="999" w:type="pct"/>
            <w:vMerge/>
          </w:tcPr>
          <w:p w:rsidR="00505BB6" w:rsidRPr="00B64198" w:rsidP="00505BB6" w14:paraId="3F61D107" w14:textId="77777777">
            <w:pPr>
              <w:pStyle w:val="GridTableX"/>
              <w:jc w:val="left"/>
              <w:rPr>
                <w:b w:val="0"/>
              </w:rPr>
            </w:pPr>
          </w:p>
        </w:tc>
        <w:tc>
          <w:tcPr>
            <w:tcW w:w="370" w:type="pct"/>
            <w:vMerge/>
          </w:tcPr>
          <w:p w:rsidR="00505BB6" w:rsidRPr="00B64198" w:rsidP="00505BB6" w14:paraId="269CCE97" w14:textId="77777777">
            <w:pPr>
              <w:pStyle w:val="GridTableX"/>
              <w:rPr>
                <w:b w:val="0"/>
              </w:rPr>
            </w:pPr>
          </w:p>
        </w:tc>
        <w:tc>
          <w:tcPr>
            <w:tcW w:w="1967" w:type="pct"/>
          </w:tcPr>
          <w:p w:rsidR="00505BB6" w:rsidP="001D4D5A" w14:paraId="68AE308C" w14:textId="77777777">
            <w:pPr>
              <w:pStyle w:val="GridTableX"/>
              <w:ind w:firstLine="0"/>
              <w:jc w:val="both"/>
              <w:rPr>
                <w:b w:val="0"/>
              </w:rPr>
            </w:pPr>
            <w:r>
              <w:rPr>
                <w:b w:val="0"/>
              </w:rPr>
              <w:t xml:space="preserve">Pasākumi komersantu iesaistei P&amp;A īstenošanā </w:t>
            </w:r>
          </w:p>
        </w:tc>
        <w:tc>
          <w:tcPr>
            <w:tcW w:w="763" w:type="pct"/>
          </w:tcPr>
          <w:p w:rsidR="00505BB6" w:rsidP="001D4D5A" w14:paraId="7D8965D0" w14:textId="77777777">
            <w:pPr>
              <w:pStyle w:val="GridTableX"/>
              <w:ind w:firstLine="0"/>
              <w:jc w:val="both"/>
              <w:rPr>
                <w:b w:val="0"/>
              </w:rPr>
            </w:pPr>
            <w:r>
              <w:rPr>
                <w:b w:val="0"/>
              </w:rPr>
              <w:t>Atbildīgā iestāde, VIAA</w:t>
            </w:r>
          </w:p>
        </w:tc>
        <w:tc>
          <w:tcPr>
            <w:tcW w:w="577" w:type="pct"/>
            <w:vMerge/>
            <w:vAlign w:val="center"/>
          </w:tcPr>
          <w:p w:rsidR="00505BB6" w:rsidRPr="00B64198" w:rsidP="00505BB6" w14:paraId="1B13DF8A" w14:textId="77777777">
            <w:pPr>
              <w:pStyle w:val="GridTableX"/>
              <w:rPr>
                <w:b w:val="0"/>
              </w:rPr>
            </w:pPr>
          </w:p>
        </w:tc>
      </w:tr>
      <w:tr w14:paraId="5896407D" w14:textId="77777777" w:rsidTr="001D4D5A">
        <w:tblPrEx>
          <w:tblW w:w="5000" w:type="pct"/>
          <w:tblLook w:val="04A0"/>
        </w:tblPrEx>
        <w:tc>
          <w:tcPr>
            <w:tcW w:w="324" w:type="pct"/>
            <w:shd w:val="clear" w:color="auto" w:fill="E7DDDD" w:themeFill="accent6" w:themeFillTint="33"/>
          </w:tcPr>
          <w:p w:rsidR="00505BB6" w:rsidP="00505BB6" w14:paraId="3CD2E4B8" w14:textId="77777777">
            <w:pPr>
              <w:pStyle w:val="GridTableX"/>
            </w:pPr>
            <w:r>
              <w:t>2.</w:t>
            </w:r>
          </w:p>
        </w:tc>
        <w:tc>
          <w:tcPr>
            <w:tcW w:w="999" w:type="pct"/>
            <w:shd w:val="clear" w:color="auto" w:fill="E7DDDD" w:themeFill="accent6" w:themeFillTint="33"/>
          </w:tcPr>
          <w:p w:rsidR="00505BB6" w:rsidRPr="00B64198" w:rsidP="00505BB6" w14:paraId="019D42EF" w14:textId="77777777">
            <w:pPr>
              <w:pStyle w:val="GridTableX"/>
              <w:jc w:val="left"/>
              <w:rPr>
                <w:b w:val="0"/>
              </w:rPr>
            </w:pPr>
            <w:r>
              <w:rPr>
                <w:b w:val="0"/>
              </w:rPr>
              <w:t>ERAF piesaiste</w:t>
            </w:r>
          </w:p>
        </w:tc>
        <w:tc>
          <w:tcPr>
            <w:tcW w:w="370" w:type="pct"/>
            <w:shd w:val="clear" w:color="auto" w:fill="E7DDDD" w:themeFill="accent6" w:themeFillTint="33"/>
          </w:tcPr>
          <w:p w:rsidR="00505BB6" w:rsidRPr="00B64198" w:rsidP="001D4D5A" w14:paraId="091D875F" w14:textId="77777777">
            <w:pPr>
              <w:pStyle w:val="GridTableX"/>
              <w:ind w:firstLine="0"/>
              <w:jc w:val="both"/>
              <w:rPr>
                <w:b w:val="0"/>
              </w:rPr>
            </w:pPr>
            <w:r>
              <w:rPr>
                <w:b w:val="0"/>
              </w:rPr>
              <w:t>vidēji augsta</w:t>
            </w:r>
          </w:p>
        </w:tc>
        <w:tc>
          <w:tcPr>
            <w:tcW w:w="1967" w:type="pct"/>
            <w:shd w:val="clear" w:color="auto" w:fill="E7DDDD" w:themeFill="accent6" w:themeFillTint="33"/>
          </w:tcPr>
          <w:p w:rsidR="00505BB6" w:rsidRPr="00B64198" w:rsidP="00505BB6" w14:paraId="4CDEF1FF" w14:textId="77777777">
            <w:pPr>
              <w:pStyle w:val="GridTableX"/>
              <w:jc w:val="left"/>
              <w:rPr>
                <w:b w:val="0"/>
              </w:rPr>
            </w:pPr>
            <w:r>
              <w:rPr>
                <w:b w:val="0"/>
              </w:rPr>
              <w:t>Pasākumi projektu iesniegumu atlases optimizācijai</w:t>
            </w:r>
          </w:p>
        </w:tc>
        <w:tc>
          <w:tcPr>
            <w:tcW w:w="763" w:type="pct"/>
            <w:shd w:val="clear" w:color="auto" w:fill="E7DDDD" w:themeFill="accent6" w:themeFillTint="33"/>
          </w:tcPr>
          <w:p w:rsidR="00505BB6" w:rsidRPr="00B64198" w:rsidP="00505BB6" w14:paraId="1FF6A89B" w14:textId="77777777">
            <w:pPr>
              <w:pStyle w:val="GridTableX"/>
              <w:rPr>
                <w:b w:val="0"/>
              </w:rPr>
            </w:pPr>
            <w:r>
              <w:rPr>
                <w:b w:val="0"/>
              </w:rPr>
              <w:t>VIAA, CFLA</w:t>
            </w:r>
          </w:p>
        </w:tc>
        <w:tc>
          <w:tcPr>
            <w:tcW w:w="577" w:type="pct"/>
            <w:shd w:val="clear" w:color="auto" w:fill="E7DDDD" w:themeFill="accent6" w:themeFillTint="33"/>
            <w:vAlign w:val="center"/>
          </w:tcPr>
          <w:p w:rsidR="00505BB6" w:rsidRPr="00B64198" w:rsidP="00505BB6" w14:paraId="54AEFFC0" w14:textId="77777777">
            <w:pPr>
              <w:pStyle w:val="GridTableX"/>
              <w:rPr>
                <w:b w:val="0"/>
              </w:rPr>
            </w:pPr>
          </w:p>
        </w:tc>
      </w:tr>
      <w:tr w14:paraId="419F12B0" w14:textId="77777777" w:rsidTr="001D4D5A">
        <w:tblPrEx>
          <w:tblW w:w="5000" w:type="pct"/>
          <w:tblLook w:val="04A0"/>
        </w:tblPrEx>
        <w:tc>
          <w:tcPr>
            <w:tcW w:w="324" w:type="pct"/>
          </w:tcPr>
          <w:p w:rsidR="00505BB6" w:rsidP="00505BB6" w14:paraId="1734F027" w14:textId="77777777">
            <w:pPr>
              <w:pStyle w:val="GridTableX"/>
            </w:pPr>
            <w:r>
              <w:t>3.</w:t>
            </w:r>
          </w:p>
        </w:tc>
        <w:tc>
          <w:tcPr>
            <w:tcW w:w="999" w:type="pct"/>
          </w:tcPr>
          <w:p w:rsidR="00505BB6" w:rsidRPr="00B64198" w:rsidP="00505BB6" w14:paraId="64EDBB7E" w14:textId="77777777">
            <w:pPr>
              <w:pStyle w:val="GridTableX"/>
              <w:jc w:val="left"/>
              <w:rPr>
                <w:b w:val="0"/>
              </w:rPr>
            </w:pPr>
            <w:r>
              <w:rPr>
                <w:b w:val="0"/>
              </w:rPr>
              <w:t>Pētniecības projektu ietvaros uzņemto saistību neizpildes risks</w:t>
            </w:r>
          </w:p>
        </w:tc>
        <w:tc>
          <w:tcPr>
            <w:tcW w:w="370" w:type="pct"/>
          </w:tcPr>
          <w:p w:rsidR="00505BB6" w:rsidRPr="00B64198" w:rsidP="00505BB6" w14:paraId="0F3EBAE0" w14:textId="77777777">
            <w:pPr>
              <w:pStyle w:val="GridTableX"/>
              <w:rPr>
                <w:b w:val="0"/>
              </w:rPr>
            </w:pPr>
            <w:r>
              <w:rPr>
                <w:b w:val="0"/>
              </w:rPr>
              <w:t>vidēji augsta</w:t>
            </w:r>
          </w:p>
        </w:tc>
        <w:tc>
          <w:tcPr>
            <w:tcW w:w="1967" w:type="pct"/>
          </w:tcPr>
          <w:p w:rsidR="00505BB6" w:rsidRPr="00B64198" w:rsidP="00505BB6" w14:paraId="7493DEA4" w14:textId="77777777">
            <w:pPr>
              <w:pStyle w:val="GridTableX"/>
              <w:rPr>
                <w:b w:val="0"/>
              </w:rPr>
            </w:pPr>
            <w:r>
              <w:rPr>
                <w:b w:val="0"/>
              </w:rPr>
              <w:t>Uzraudzības pasākumi projektu īstenošanas, pēcuzraudzības vai projekta pārskata periodā; vidusposma un noslēguma izvērtējumi</w:t>
            </w:r>
          </w:p>
        </w:tc>
        <w:tc>
          <w:tcPr>
            <w:tcW w:w="763" w:type="pct"/>
          </w:tcPr>
          <w:p w:rsidR="00505BB6" w:rsidRPr="00B64198" w:rsidP="00505BB6" w14:paraId="67D12D6A" w14:textId="77777777">
            <w:pPr>
              <w:pStyle w:val="GridTableX"/>
              <w:rPr>
                <w:b w:val="0"/>
              </w:rPr>
            </w:pPr>
            <w:r>
              <w:rPr>
                <w:b w:val="0"/>
              </w:rPr>
              <w:t>VIAA, CFLA</w:t>
            </w:r>
          </w:p>
        </w:tc>
        <w:tc>
          <w:tcPr>
            <w:tcW w:w="577" w:type="pct"/>
            <w:vAlign w:val="center"/>
          </w:tcPr>
          <w:p w:rsidR="00505BB6" w:rsidRPr="00B64198" w:rsidP="00505BB6" w14:paraId="5EC834D1" w14:textId="77777777">
            <w:pPr>
              <w:pStyle w:val="GridTableX"/>
              <w:rPr>
                <w:b w:val="0"/>
              </w:rPr>
            </w:pPr>
            <w:r>
              <w:rPr>
                <w:b w:val="0"/>
              </w:rPr>
              <w:t>Visa projekta dzīves cikla laikā.</w:t>
            </w:r>
          </w:p>
        </w:tc>
      </w:tr>
    </w:tbl>
    <w:p w:rsidR="00327807" w:rsidP="00327807" w14:paraId="0E9CBED6" w14:textId="77777777">
      <w:pPr>
        <w:sectPr w:rsidSect="00327807">
          <w:pgSz w:w="16838" w:h="11906" w:orient="landscape" w:code="9"/>
          <w:pgMar w:top="1304" w:right="992" w:bottom="907" w:left="1418" w:header="425" w:footer="193" w:gutter="0"/>
          <w:cols w:space="708"/>
          <w:titlePg/>
          <w:docGrid w:linePitch="360"/>
        </w:sectPr>
      </w:pPr>
    </w:p>
    <w:p w:rsidR="001F2D02" w:rsidRPr="008A56D5" w:rsidP="001F2D02" w14:paraId="2E51C380" w14:textId="77777777">
      <w:pPr>
        <w:pStyle w:val="Heading1"/>
      </w:pPr>
      <w:bookmarkStart w:id="160" w:name="_Toc494727618"/>
      <w:bookmarkStart w:id="161" w:name="_Toc499019532"/>
      <w:bookmarkStart w:id="162" w:name="_Toc505086388"/>
      <w:bookmarkStart w:id="163" w:name="_Toc256000026"/>
      <w:bookmarkStart w:id="164" w:name="_Toc256000053"/>
      <w:r>
        <w:t>Izmantotie saīsinājumi</w:t>
      </w:r>
      <w:bookmarkEnd w:id="164"/>
      <w:bookmarkEnd w:id="163"/>
      <w:bookmarkEnd w:id="160"/>
      <w:bookmarkEnd w:id="161"/>
      <w:bookmarkEnd w:id="162"/>
    </w:p>
    <w:tbl>
      <w:tblPr>
        <w:tblStyle w:val="TableGrid"/>
        <w:tblW w:w="5000" w:type="pct"/>
        <w:tblLook w:val="04A0"/>
      </w:tblPr>
      <w:tblGrid>
        <w:gridCol w:w="2262"/>
        <w:gridCol w:w="7423"/>
      </w:tblGrid>
      <w:tr w14:paraId="6FFDAECE" w14:textId="77777777" w:rsidTr="001D4D5A">
        <w:tblPrEx>
          <w:tblW w:w="5000" w:type="pct"/>
          <w:tblLook w:val="04A0"/>
        </w:tblPrEx>
        <w:tc>
          <w:tcPr>
            <w:tcW w:w="1168" w:type="pct"/>
          </w:tcPr>
          <w:p w:rsidR="0037384A" w:rsidRPr="0037384A" w:rsidP="00081CDA" w14:paraId="11C5E257" w14:textId="77777777">
            <w:pPr>
              <w:rPr>
                <w:b/>
                <w:sz w:val="20"/>
              </w:rPr>
            </w:pPr>
            <w:r w:rsidRPr="0037384A">
              <w:rPr>
                <w:b/>
                <w:sz w:val="20"/>
              </w:rPr>
              <w:t>Saīsinājums</w:t>
            </w:r>
          </w:p>
        </w:tc>
        <w:tc>
          <w:tcPr>
            <w:tcW w:w="3832" w:type="pct"/>
          </w:tcPr>
          <w:p w:rsidR="0037384A" w:rsidRPr="0037384A" w:rsidP="00081CDA" w14:paraId="6F88D91A" w14:textId="77777777">
            <w:pPr>
              <w:rPr>
                <w:b/>
                <w:sz w:val="20"/>
              </w:rPr>
            </w:pPr>
            <w:r w:rsidRPr="0037384A">
              <w:rPr>
                <w:b/>
                <w:sz w:val="20"/>
              </w:rPr>
              <w:t>Saīsinājuma atšifrējums</w:t>
            </w:r>
          </w:p>
        </w:tc>
      </w:tr>
      <w:tr w14:paraId="43F55AA4" w14:textId="77777777" w:rsidTr="001D4D5A">
        <w:tblPrEx>
          <w:tblW w:w="5000" w:type="pct"/>
          <w:tblLook w:val="04A0"/>
        </w:tblPrEx>
        <w:tc>
          <w:tcPr>
            <w:tcW w:w="1168" w:type="pct"/>
          </w:tcPr>
          <w:p w:rsidR="0037384A" w:rsidRPr="003C0B53" w:rsidP="00223E08" w14:paraId="7228187B" w14:textId="77777777">
            <w:pPr>
              <w:ind w:firstLine="0"/>
              <w:rPr>
                <w:sz w:val="20"/>
              </w:rPr>
            </w:pPr>
            <w:r>
              <w:rPr>
                <w:sz w:val="20"/>
              </w:rPr>
              <w:t>Praktiskas ievirzes pētījumu programmas</w:t>
            </w:r>
            <w:r w:rsidRPr="003C0B53">
              <w:rPr>
                <w:sz w:val="20"/>
              </w:rPr>
              <w:t xml:space="preserve"> </w:t>
            </w:r>
            <w:r w:rsidRPr="003C0B53">
              <w:rPr>
                <w:sz w:val="20"/>
              </w:rPr>
              <w:t>atlases nolikums</w:t>
            </w:r>
          </w:p>
        </w:tc>
        <w:tc>
          <w:tcPr>
            <w:tcW w:w="3832" w:type="pct"/>
          </w:tcPr>
          <w:p w:rsidR="0037384A" w:rsidRPr="003C0B53" w:rsidP="00223E08" w14:paraId="07402C6F" w14:textId="77777777">
            <w:pPr>
              <w:ind w:firstLine="0"/>
              <w:rPr>
                <w:sz w:val="20"/>
              </w:rPr>
            </w:pPr>
            <w:r w:rsidRPr="003C0B53">
              <w:rPr>
                <w:sz w:val="20"/>
              </w:rPr>
              <w:t>1.1.1.1. pasākuma “Praktiskas ievirzes pētījumi” projektu iesniegumu atlases nolikums</w:t>
            </w:r>
          </w:p>
        </w:tc>
      </w:tr>
      <w:tr w14:paraId="5F03F487" w14:textId="77777777" w:rsidTr="001D4D5A">
        <w:tblPrEx>
          <w:tblW w:w="5000" w:type="pct"/>
          <w:tblLook w:val="04A0"/>
        </w:tblPrEx>
        <w:tc>
          <w:tcPr>
            <w:tcW w:w="1168" w:type="pct"/>
          </w:tcPr>
          <w:p w:rsidR="0037384A" w:rsidRPr="003C0B53" w:rsidP="00223E08" w14:paraId="36A327E3" w14:textId="77777777">
            <w:pPr>
              <w:ind w:firstLine="0"/>
              <w:rPr>
                <w:sz w:val="20"/>
              </w:rPr>
            </w:pPr>
            <w:r>
              <w:rPr>
                <w:sz w:val="20"/>
              </w:rPr>
              <w:t>Praktiskas ievirzes pētījumu programma</w:t>
            </w:r>
            <w:r w:rsidR="00C75948">
              <w:rPr>
                <w:sz w:val="20"/>
              </w:rPr>
              <w:t>; 1.1.1.1. pasākums</w:t>
            </w:r>
          </w:p>
        </w:tc>
        <w:tc>
          <w:tcPr>
            <w:tcW w:w="3832" w:type="pct"/>
          </w:tcPr>
          <w:p w:rsidR="0037384A" w:rsidRPr="003C0B53" w:rsidP="00223E08" w14:paraId="2C3DEEEE" w14:textId="77777777">
            <w:pPr>
              <w:ind w:firstLine="0"/>
              <w:rPr>
                <w:sz w:val="20"/>
              </w:rPr>
            </w:pPr>
            <w:r>
              <w:rPr>
                <w:sz w:val="20"/>
              </w:rPr>
              <w:t>D</w:t>
            </w:r>
            <w:r w:rsidRPr="003C0B53">
              <w:rPr>
                <w:sz w:val="20"/>
              </w:rPr>
              <w:t>arbības programmas “Izaugsme un nodarbinātība” 1.1.1. specifiskā atbalsta mērķa “Palielināt Latvijas zinātnisko institūciju pētniecisko un inovatīvo kapacitāti un spēju piesaistīt ārējo finansējumu, ieguldot cilvēkresursos un infrastruktūrā” 1.1.1.1. pasākums “Praktiskas ievirzes pētījumi”</w:t>
            </w:r>
          </w:p>
        </w:tc>
      </w:tr>
      <w:tr w14:paraId="3850277E" w14:textId="77777777" w:rsidTr="001D4D5A">
        <w:tblPrEx>
          <w:tblW w:w="5000" w:type="pct"/>
          <w:tblLook w:val="04A0"/>
        </w:tblPrEx>
        <w:tc>
          <w:tcPr>
            <w:tcW w:w="1168" w:type="pct"/>
          </w:tcPr>
          <w:p w:rsidR="0037384A" w:rsidRPr="003C0B53" w:rsidP="001D4D5A" w14:paraId="35C8D79B" w14:textId="77777777">
            <w:pPr>
              <w:ind w:firstLine="0"/>
              <w:rPr>
                <w:sz w:val="20"/>
              </w:rPr>
            </w:pPr>
            <w:r>
              <w:rPr>
                <w:sz w:val="20"/>
              </w:rPr>
              <w:t xml:space="preserve">Pēcdoktorantūras pētījumu programmas </w:t>
            </w:r>
            <w:r w:rsidRPr="003C0B53">
              <w:rPr>
                <w:sz w:val="20"/>
              </w:rPr>
              <w:t xml:space="preserve"> atlases nolikums</w:t>
            </w:r>
          </w:p>
        </w:tc>
        <w:tc>
          <w:tcPr>
            <w:tcW w:w="3832" w:type="pct"/>
          </w:tcPr>
          <w:p w:rsidR="0037384A" w:rsidRPr="003C0B53" w:rsidP="00223E08" w14:paraId="750412BF" w14:textId="77777777">
            <w:pPr>
              <w:ind w:firstLine="0"/>
              <w:rPr>
                <w:sz w:val="20"/>
              </w:rPr>
            </w:pPr>
            <w:r w:rsidRPr="003C0B53">
              <w:rPr>
                <w:sz w:val="20"/>
              </w:rPr>
              <w:t xml:space="preserve">1.1.1.2. pasākuma “Pēcdoktorantūras pētniecības atbalsts” pētniecības pieteikumu atlases nolikums </w:t>
            </w:r>
          </w:p>
        </w:tc>
      </w:tr>
      <w:tr w14:paraId="7D9EA7E9" w14:textId="77777777" w:rsidTr="001D4D5A">
        <w:tblPrEx>
          <w:tblW w:w="5000" w:type="pct"/>
          <w:tblLook w:val="04A0"/>
        </w:tblPrEx>
        <w:tc>
          <w:tcPr>
            <w:tcW w:w="1168" w:type="pct"/>
          </w:tcPr>
          <w:p w:rsidR="0037384A" w:rsidRPr="003C0B53" w:rsidP="001D4D5A" w14:paraId="7607DB38" w14:textId="77777777">
            <w:pPr>
              <w:ind w:firstLine="0"/>
              <w:rPr>
                <w:sz w:val="20"/>
              </w:rPr>
            </w:pPr>
            <w:r>
              <w:rPr>
                <w:sz w:val="20"/>
              </w:rPr>
              <w:t>Pēcd</w:t>
            </w:r>
            <w:r w:rsidR="00C75948">
              <w:rPr>
                <w:sz w:val="20"/>
              </w:rPr>
              <w:t>oktorantūras pētījumu programma; 1.1.1.2. pasākums</w:t>
            </w:r>
            <w:r w:rsidRPr="003C0B53">
              <w:rPr>
                <w:sz w:val="20"/>
              </w:rPr>
              <w:t xml:space="preserve"> </w:t>
            </w:r>
          </w:p>
        </w:tc>
        <w:tc>
          <w:tcPr>
            <w:tcW w:w="3832" w:type="pct"/>
          </w:tcPr>
          <w:p w:rsidR="0037384A" w:rsidRPr="003C0B53" w:rsidP="00223E08" w14:paraId="2671FA5E" w14:textId="77777777">
            <w:pPr>
              <w:ind w:firstLine="0"/>
              <w:rPr>
                <w:sz w:val="20"/>
              </w:rPr>
            </w:pPr>
            <w:r>
              <w:rPr>
                <w:sz w:val="20"/>
              </w:rPr>
              <w:t>D</w:t>
            </w:r>
            <w:r w:rsidRPr="003C0B53">
              <w:rPr>
                <w:sz w:val="20"/>
              </w:rPr>
              <w:t>arbības programmas “Izaugsme un nodarbinātība” 1.1.1. specifiskā atbalsta mērķa “Palielināt Latvijas zinātnisko institūciju pētniecisko un inovatīvo kapacitāti un spēju piesaistīt ārējo finansējumu, ieguldot cilvēkresursos un infrastruktūrā” 1.1.1.2. pasākums “Pēcdoktorantūras pētniecības atbalsts”</w:t>
            </w:r>
          </w:p>
        </w:tc>
      </w:tr>
      <w:tr w14:paraId="15A466B9" w14:textId="77777777" w:rsidTr="001D4D5A">
        <w:tblPrEx>
          <w:tblW w:w="5000" w:type="pct"/>
          <w:tblLook w:val="04A0"/>
        </w:tblPrEx>
        <w:tc>
          <w:tcPr>
            <w:tcW w:w="1168" w:type="pct"/>
          </w:tcPr>
          <w:p w:rsidR="0037384A" w:rsidRPr="003C0B53" w:rsidP="00081CDA" w14:paraId="4A9C8596" w14:textId="77777777">
            <w:pPr>
              <w:rPr>
                <w:sz w:val="20"/>
              </w:rPr>
            </w:pPr>
            <w:r>
              <w:rPr>
                <w:sz w:val="20"/>
              </w:rPr>
              <w:t>aktuālā vērtība</w:t>
            </w:r>
          </w:p>
        </w:tc>
        <w:tc>
          <w:tcPr>
            <w:tcW w:w="3832" w:type="pct"/>
          </w:tcPr>
          <w:p w:rsidR="0037384A" w:rsidRPr="003C0B53" w:rsidP="00223E08" w14:paraId="71BDB3B7" w14:textId="77777777">
            <w:pPr>
              <w:ind w:firstLine="0"/>
              <w:rPr>
                <w:sz w:val="20"/>
              </w:rPr>
            </w:pPr>
            <w:r>
              <w:rPr>
                <w:sz w:val="20"/>
              </w:rPr>
              <w:t>S</w:t>
            </w:r>
            <w:r>
              <w:rPr>
                <w:sz w:val="20"/>
              </w:rPr>
              <w:t>asniegtā iznākuma rādītāja vērtība, kas norādīta apstiprinātajos maksājuma pieprasījumos</w:t>
            </w:r>
          </w:p>
        </w:tc>
      </w:tr>
      <w:tr w14:paraId="6BFBD6B8" w14:textId="77777777" w:rsidTr="001D4D5A">
        <w:tblPrEx>
          <w:tblW w:w="5000" w:type="pct"/>
          <w:tblLook w:val="04A0"/>
        </w:tblPrEx>
        <w:tc>
          <w:tcPr>
            <w:tcW w:w="1168" w:type="pct"/>
          </w:tcPr>
          <w:p w:rsidR="0037384A" w:rsidRPr="000D3E8A" w:rsidP="00081CDA" w14:paraId="5F0588C5" w14:textId="77777777">
            <w:pPr>
              <w:rPr>
                <w:rFonts w:cs="Times New Roman"/>
                <w:sz w:val="20"/>
                <w:szCs w:val="20"/>
              </w:rPr>
            </w:pPr>
            <w:r w:rsidRPr="000D3E8A">
              <w:rPr>
                <w:rFonts w:cs="Times New Roman"/>
                <w:sz w:val="20"/>
                <w:szCs w:val="20"/>
              </w:rPr>
              <w:t>BIOR</w:t>
            </w:r>
          </w:p>
        </w:tc>
        <w:tc>
          <w:tcPr>
            <w:tcW w:w="3832" w:type="pct"/>
          </w:tcPr>
          <w:p w:rsidR="0037384A" w:rsidRPr="000D3E8A" w:rsidP="00223E08" w14:paraId="725CC4EE" w14:textId="77777777">
            <w:pPr>
              <w:ind w:firstLine="0"/>
              <w:rPr>
                <w:rFonts w:cs="Times New Roman"/>
                <w:sz w:val="20"/>
                <w:szCs w:val="20"/>
                <w:lang w:eastAsia="lv-LV"/>
              </w:rPr>
            </w:pPr>
            <w:r w:rsidRPr="000D3E8A">
              <w:rPr>
                <w:rFonts w:cs="Times New Roman"/>
                <w:sz w:val="20"/>
                <w:szCs w:val="20"/>
                <w:lang w:eastAsia="lv-LV"/>
              </w:rPr>
              <w:t>Pārtikas drošības, dzīvnieku veselības un vides zinātniskais institūts "BIOR"</w:t>
            </w:r>
          </w:p>
        </w:tc>
      </w:tr>
      <w:tr w14:paraId="46DB7930" w14:textId="77777777" w:rsidTr="001D4D5A">
        <w:tblPrEx>
          <w:tblW w:w="5000" w:type="pct"/>
          <w:tblLook w:val="04A0"/>
        </w:tblPrEx>
        <w:tc>
          <w:tcPr>
            <w:tcW w:w="1168" w:type="pct"/>
          </w:tcPr>
          <w:p w:rsidR="0037384A" w:rsidRPr="000D3E8A" w:rsidP="00081CDA" w14:paraId="37693F37" w14:textId="77777777">
            <w:pPr>
              <w:rPr>
                <w:rFonts w:cs="Times New Roman"/>
                <w:sz w:val="20"/>
                <w:szCs w:val="20"/>
              </w:rPr>
            </w:pPr>
            <w:r w:rsidRPr="000D3E8A">
              <w:rPr>
                <w:rFonts w:cs="Times New Roman"/>
                <w:sz w:val="20"/>
                <w:szCs w:val="20"/>
              </w:rPr>
              <w:t>BMC</w:t>
            </w:r>
          </w:p>
        </w:tc>
        <w:tc>
          <w:tcPr>
            <w:tcW w:w="3832" w:type="pct"/>
          </w:tcPr>
          <w:p w:rsidR="0037384A" w:rsidRPr="000D3E8A" w:rsidP="00223E08" w14:paraId="5BAAE9E2" w14:textId="77777777">
            <w:pPr>
              <w:ind w:firstLine="0"/>
              <w:rPr>
                <w:rFonts w:cs="Times New Roman"/>
                <w:sz w:val="20"/>
                <w:szCs w:val="20"/>
                <w:lang w:eastAsia="lv-LV"/>
              </w:rPr>
            </w:pPr>
            <w:r w:rsidRPr="000D3E8A">
              <w:rPr>
                <w:rFonts w:cs="Times New Roman"/>
                <w:sz w:val="20"/>
                <w:szCs w:val="20"/>
                <w:lang w:eastAsia="lv-LV"/>
              </w:rPr>
              <w:t>Latvijas Biomedicīnas pētījumu un studiju centrs</w:t>
            </w:r>
          </w:p>
        </w:tc>
      </w:tr>
      <w:tr w14:paraId="5B1770E6" w14:textId="77777777" w:rsidTr="001D4D5A">
        <w:tblPrEx>
          <w:tblW w:w="5000" w:type="pct"/>
          <w:tblLook w:val="04A0"/>
        </w:tblPrEx>
        <w:tc>
          <w:tcPr>
            <w:tcW w:w="1168" w:type="pct"/>
          </w:tcPr>
          <w:p w:rsidR="0037384A" w:rsidRPr="003C0B53" w:rsidP="00081CDA" w14:paraId="6CC50A77" w14:textId="77777777">
            <w:pPr>
              <w:rPr>
                <w:sz w:val="20"/>
              </w:rPr>
            </w:pPr>
            <w:r w:rsidRPr="003C0B53">
              <w:rPr>
                <w:sz w:val="20"/>
              </w:rPr>
              <w:t>CFLA</w:t>
            </w:r>
          </w:p>
        </w:tc>
        <w:tc>
          <w:tcPr>
            <w:tcW w:w="3832" w:type="pct"/>
          </w:tcPr>
          <w:p w:rsidR="0037384A" w:rsidRPr="003C0B53" w:rsidP="00223E08" w14:paraId="5E2F63E0" w14:textId="77777777">
            <w:pPr>
              <w:ind w:firstLine="0"/>
              <w:rPr>
                <w:sz w:val="20"/>
              </w:rPr>
            </w:pPr>
            <w:r w:rsidRPr="003C0B53">
              <w:rPr>
                <w:sz w:val="20"/>
              </w:rPr>
              <w:t>Centrālā finanšu un līgumu aģentūra</w:t>
            </w:r>
          </w:p>
        </w:tc>
      </w:tr>
      <w:tr w14:paraId="701F866A" w14:textId="77777777" w:rsidTr="001D4D5A">
        <w:tblPrEx>
          <w:tblW w:w="5000" w:type="pct"/>
          <w:tblLook w:val="04A0"/>
        </w:tblPrEx>
        <w:tc>
          <w:tcPr>
            <w:tcW w:w="1168" w:type="pct"/>
          </w:tcPr>
          <w:p w:rsidR="0037384A" w:rsidRPr="003C0B53" w:rsidP="001D4D5A" w14:paraId="2D53104E" w14:textId="77777777">
            <w:pPr>
              <w:ind w:firstLine="0"/>
              <w:rPr>
                <w:sz w:val="20"/>
              </w:rPr>
            </w:pPr>
            <w:r w:rsidRPr="000D3E8A">
              <w:rPr>
                <w:rFonts w:cs="Times New Roman"/>
                <w:sz w:val="20"/>
                <w:szCs w:val="20"/>
              </w:rPr>
              <w:t>DP, darbības programma</w:t>
            </w:r>
          </w:p>
        </w:tc>
        <w:tc>
          <w:tcPr>
            <w:tcW w:w="3832" w:type="pct"/>
          </w:tcPr>
          <w:p w:rsidR="0037384A" w:rsidRPr="003C0B53" w:rsidP="00223E08" w14:paraId="66A557A0" w14:textId="77777777">
            <w:pPr>
              <w:ind w:firstLine="0"/>
              <w:rPr>
                <w:sz w:val="20"/>
              </w:rPr>
            </w:pPr>
            <w:r>
              <w:rPr>
                <w:sz w:val="20"/>
              </w:rPr>
              <w:t>D</w:t>
            </w:r>
            <w:r w:rsidRPr="003C0B53">
              <w:rPr>
                <w:sz w:val="20"/>
              </w:rPr>
              <w:t xml:space="preserve">arbības programmas “Izaugsme un nodarbinātība” </w:t>
            </w:r>
          </w:p>
        </w:tc>
      </w:tr>
      <w:tr w14:paraId="27614DC3" w14:textId="77777777" w:rsidTr="001D4D5A">
        <w:tblPrEx>
          <w:tblW w:w="5000" w:type="pct"/>
          <w:tblLook w:val="04A0"/>
        </w:tblPrEx>
        <w:tc>
          <w:tcPr>
            <w:tcW w:w="1168" w:type="pct"/>
          </w:tcPr>
          <w:p w:rsidR="0037384A" w:rsidRPr="000D3E8A" w:rsidP="00081CDA" w14:paraId="047482ED" w14:textId="77777777">
            <w:pPr>
              <w:rPr>
                <w:rFonts w:cs="Times New Roman"/>
                <w:sz w:val="20"/>
                <w:szCs w:val="20"/>
              </w:rPr>
            </w:pPr>
            <w:r w:rsidRPr="000D3E8A">
              <w:rPr>
                <w:rFonts w:cs="Times New Roman"/>
                <w:sz w:val="20"/>
                <w:szCs w:val="20"/>
              </w:rPr>
              <w:t>DU</w:t>
            </w:r>
          </w:p>
        </w:tc>
        <w:tc>
          <w:tcPr>
            <w:tcW w:w="3832" w:type="pct"/>
          </w:tcPr>
          <w:p w:rsidR="0037384A" w:rsidRPr="000D3E8A" w:rsidP="00223E08" w14:paraId="04CF7FAA" w14:textId="77777777">
            <w:pPr>
              <w:ind w:firstLine="0"/>
              <w:rPr>
                <w:rFonts w:cs="Times New Roman"/>
                <w:sz w:val="20"/>
                <w:szCs w:val="20"/>
                <w:lang w:eastAsia="lv-LV"/>
              </w:rPr>
            </w:pPr>
            <w:r w:rsidRPr="000D3E8A">
              <w:rPr>
                <w:rFonts w:cs="Times New Roman"/>
                <w:sz w:val="20"/>
                <w:szCs w:val="20"/>
                <w:lang w:eastAsia="lv-LV"/>
              </w:rPr>
              <w:t>Daugavpils Universitāte</w:t>
            </w:r>
          </w:p>
        </w:tc>
      </w:tr>
      <w:tr w14:paraId="26605615" w14:textId="77777777" w:rsidTr="001D4D5A">
        <w:tblPrEx>
          <w:tblW w:w="5000" w:type="pct"/>
          <w:tblLook w:val="04A0"/>
        </w:tblPrEx>
        <w:tc>
          <w:tcPr>
            <w:tcW w:w="1168" w:type="pct"/>
          </w:tcPr>
          <w:p w:rsidR="0014727F" w:rsidRPr="000D3E8A" w:rsidP="00081CDA" w14:paraId="5AF103BC" w14:textId="77777777">
            <w:pPr>
              <w:rPr>
                <w:rFonts w:cs="Times New Roman"/>
                <w:sz w:val="20"/>
                <w:szCs w:val="20"/>
              </w:rPr>
            </w:pPr>
            <w:r>
              <w:rPr>
                <w:rFonts w:cs="Times New Roman"/>
                <w:sz w:val="20"/>
                <w:szCs w:val="20"/>
              </w:rPr>
              <w:t>ERAF</w:t>
            </w:r>
          </w:p>
        </w:tc>
        <w:tc>
          <w:tcPr>
            <w:tcW w:w="3832" w:type="pct"/>
          </w:tcPr>
          <w:p w:rsidR="0014727F" w:rsidRPr="000D3E8A" w:rsidP="00223E08" w14:paraId="6B293197" w14:textId="77777777">
            <w:pPr>
              <w:ind w:firstLine="0"/>
              <w:rPr>
                <w:rFonts w:cs="Times New Roman"/>
                <w:sz w:val="20"/>
                <w:szCs w:val="20"/>
                <w:lang w:eastAsia="lv-LV"/>
              </w:rPr>
            </w:pPr>
            <w:r>
              <w:rPr>
                <w:rFonts w:cs="Times New Roman"/>
                <w:sz w:val="20"/>
                <w:szCs w:val="20"/>
                <w:lang w:eastAsia="lv-LV"/>
              </w:rPr>
              <w:t>Eiropas Reģionālās attīstības fonds</w:t>
            </w:r>
          </w:p>
        </w:tc>
      </w:tr>
      <w:tr w14:paraId="254A42E7" w14:textId="77777777" w:rsidTr="001D4D5A">
        <w:tblPrEx>
          <w:tblW w:w="5000" w:type="pct"/>
          <w:tblLook w:val="04A0"/>
        </w:tblPrEx>
        <w:tc>
          <w:tcPr>
            <w:tcW w:w="1168" w:type="pct"/>
          </w:tcPr>
          <w:p w:rsidR="0037384A" w:rsidRPr="003C0B53" w:rsidP="001D4D5A" w14:paraId="58D33094" w14:textId="77777777">
            <w:pPr>
              <w:ind w:firstLine="0"/>
              <w:rPr>
                <w:sz w:val="20"/>
              </w:rPr>
            </w:pPr>
            <w:r w:rsidRPr="003C0B53">
              <w:rPr>
                <w:sz w:val="20"/>
              </w:rPr>
              <w:t>Eiropas inovāciju rādītāji</w:t>
            </w:r>
          </w:p>
        </w:tc>
        <w:tc>
          <w:tcPr>
            <w:tcW w:w="3832" w:type="pct"/>
          </w:tcPr>
          <w:p w:rsidR="0037384A" w:rsidRPr="003C0B53" w:rsidP="00223E08" w14:paraId="38FB8C83" w14:textId="77777777">
            <w:pPr>
              <w:ind w:firstLine="0"/>
              <w:rPr>
                <w:sz w:val="20"/>
              </w:rPr>
            </w:pPr>
            <w:r w:rsidRPr="003C0B53">
              <w:rPr>
                <w:sz w:val="20"/>
              </w:rPr>
              <w:t>Rādītāji, kas ietverti Eiropas inovācijas rezultātu pārskatā (</w:t>
            </w:r>
            <w:r w:rsidRPr="003C0B53">
              <w:rPr>
                <w:i/>
                <w:sz w:val="20"/>
              </w:rPr>
              <w:t>Innovation Union Scoreboard)</w:t>
            </w:r>
          </w:p>
        </w:tc>
      </w:tr>
      <w:tr w14:paraId="54EB0931" w14:textId="77777777" w:rsidTr="001D4D5A">
        <w:tblPrEx>
          <w:tblW w:w="5000" w:type="pct"/>
          <w:tblLook w:val="04A0"/>
        </w:tblPrEx>
        <w:tc>
          <w:tcPr>
            <w:tcW w:w="1168" w:type="pct"/>
          </w:tcPr>
          <w:p w:rsidR="0037384A" w:rsidRPr="003C0B53" w:rsidP="00081CDA" w14:paraId="2CF54C12" w14:textId="77777777">
            <w:pPr>
              <w:rPr>
                <w:sz w:val="20"/>
              </w:rPr>
            </w:pPr>
            <w:r w:rsidRPr="003C0B53">
              <w:rPr>
                <w:sz w:val="20"/>
              </w:rPr>
              <w:t>EK eksperti</w:t>
            </w:r>
          </w:p>
        </w:tc>
        <w:tc>
          <w:tcPr>
            <w:tcW w:w="3832" w:type="pct"/>
          </w:tcPr>
          <w:p w:rsidR="0037384A" w:rsidRPr="003C0B53" w:rsidP="00223E08" w14:paraId="59741233" w14:textId="77777777">
            <w:pPr>
              <w:ind w:firstLine="0"/>
              <w:rPr>
                <w:sz w:val="20"/>
              </w:rPr>
            </w:pPr>
            <w:r w:rsidRPr="003C0B53">
              <w:rPr>
                <w:sz w:val="20"/>
              </w:rPr>
              <w:t>Eiropas Komisijas ekspertu datubāzē iekļautie eksperti, kas atbilst MK noteikumu Nr. 34 51.punktā minētajiem kritērijiem</w:t>
            </w:r>
          </w:p>
        </w:tc>
      </w:tr>
      <w:tr w14:paraId="0F0F47AB" w14:textId="77777777" w:rsidTr="001D4D5A">
        <w:tblPrEx>
          <w:tblW w:w="5000" w:type="pct"/>
          <w:tblLook w:val="04A0"/>
        </w:tblPrEx>
        <w:tc>
          <w:tcPr>
            <w:tcW w:w="1168" w:type="pct"/>
          </w:tcPr>
          <w:p w:rsidR="0037384A" w:rsidRPr="003C0B53" w:rsidP="00081CDA" w14:paraId="57CC6E66" w14:textId="77777777">
            <w:pPr>
              <w:rPr>
                <w:sz w:val="20"/>
              </w:rPr>
            </w:pPr>
            <w:r w:rsidRPr="003C0B53">
              <w:rPr>
                <w:sz w:val="20"/>
              </w:rPr>
              <w:t>EK Vadlīnijas</w:t>
            </w:r>
          </w:p>
        </w:tc>
        <w:tc>
          <w:tcPr>
            <w:tcW w:w="3832" w:type="pct"/>
          </w:tcPr>
          <w:p w:rsidR="0037384A" w:rsidRPr="003C0B53" w:rsidP="00223E08" w14:paraId="58B4117A" w14:textId="77777777">
            <w:pPr>
              <w:ind w:firstLine="0"/>
              <w:rPr>
                <w:sz w:val="20"/>
              </w:rPr>
            </w:pPr>
            <w:r w:rsidRPr="003C0B53">
              <w:rPr>
                <w:sz w:val="20"/>
              </w:rPr>
              <w:t>EK Vadlīnij</w:t>
            </w:r>
            <w:r w:rsidRPr="00C07833">
              <w:rPr>
                <w:sz w:val="20"/>
              </w:rPr>
              <w:t>as</w:t>
            </w:r>
            <w:r w:rsidRPr="003C0B53">
              <w:rPr>
                <w:sz w:val="20"/>
              </w:rPr>
              <w:t xml:space="preserve"> par monitoringu un novērtēšanu – Kohēzijas fonds un Eiropas r</w:t>
            </w:r>
            <w:r w:rsidRPr="00C07833">
              <w:rPr>
                <w:sz w:val="20"/>
              </w:rPr>
              <w:t>e</w:t>
            </w:r>
            <w:r w:rsidRPr="003C0B53">
              <w:rPr>
                <w:sz w:val="20"/>
              </w:rPr>
              <w:t xml:space="preserve">ģionālās attīstības fonds </w:t>
            </w:r>
          </w:p>
        </w:tc>
      </w:tr>
      <w:tr w14:paraId="784D7B1F" w14:textId="77777777" w:rsidTr="001D4D5A">
        <w:tblPrEx>
          <w:tblW w:w="5000" w:type="pct"/>
          <w:tblLook w:val="04A0"/>
        </w:tblPrEx>
        <w:tc>
          <w:tcPr>
            <w:tcW w:w="1168" w:type="pct"/>
          </w:tcPr>
          <w:p w:rsidR="0037384A" w:rsidRPr="003C0B53" w:rsidP="00081CDA" w14:paraId="583D367F" w14:textId="77777777">
            <w:pPr>
              <w:rPr>
                <w:sz w:val="20"/>
              </w:rPr>
            </w:pPr>
            <w:r w:rsidRPr="003C0B53">
              <w:rPr>
                <w:i/>
                <w:sz w:val="20"/>
              </w:rPr>
              <w:t>EURAXESS</w:t>
            </w:r>
            <w:r w:rsidRPr="003C0B53">
              <w:rPr>
                <w:sz w:val="20"/>
              </w:rPr>
              <w:t xml:space="preserve"> portāls</w:t>
            </w:r>
          </w:p>
        </w:tc>
        <w:tc>
          <w:tcPr>
            <w:tcW w:w="3832" w:type="pct"/>
          </w:tcPr>
          <w:p w:rsidR="0037384A" w:rsidRPr="003C0B53" w:rsidP="00223E08" w14:paraId="3F609C00" w14:textId="77777777">
            <w:pPr>
              <w:ind w:firstLine="0"/>
              <w:rPr>
                <w:sz w:val="20"/>
              </w:rPr>
            </w:pPr>
            <w:r w:rsidRPr="003C0B53">
              <w:rPr>
                <w:sz w:val="20"/>
              </w:rPr>
              <w:t>Eiropas mēroga portāls (https://euraxess.ec.europa.eu/), kas izveidots, lai nodrošinātu mūsdienīgu un ērtu vidi informācijas apmaiņai zinātnieku starptautiskās un starpsektoru mobilitātes nodrošināšanai Eiropas Pētniecības telpas ietvaros</w:t>
            </w:r>
          </w:p>
        </w:tc>
      </w:tr>
      <w:tr w14:paraId="4CD7E3AD" w14:textId="77777777" w:rsidTr="001D4D5A">
        <w:tblPrEx>
          <w:tblW w:w="5000" w:type="pct"/>
          <w:tblLook w:val="04A0"/>
        </w:tblPrEx>
        <w:tc>
          <w:tcPr>
            <w:tcW w:w="1168" w:type="pct"/>
          </w:tcPr>
          <w:p w:rsidR="0037384A" w:rsidRPr="000D3E8A" w:rsidP="00081CDA" w14:paraId="4F794D45" w14:textId="77777777">
            <w:pPr>
              <w:rPr>
                <w:rFonts w:cs="Times New Roman"/>
                <w:sz w:val="20"/>
                <w:szCs w:val="20"/>
              </w:rPr>
            </w:pPr>
            <w:r w:rsidRPr="000D3E8A">
              <w:rPr>
                <w:rFonts w:cs="Times New Roman"/>
                <w:sz w:val="20"/>
                <w:szCs w:val="20"/>
              </w:rPr>
              <w:t>KĶI</w:t>
            </w:r>
          </w:p>
        </w:tc>
        <w:tc>
          <w:tcPr>
            <w:tcW w:w="3832" w:type="pct"/>
          </w:tcPr>
          <w:p w:rsidR="0037384A" w:rsidRPr="000D3E8A" w:rsidP="00223E08" w14:paraId="7B963764" w14:textId="77777777">
            <w:pPr>
              <w:ind w:firstLine="0"/>
              <w:rPr>
                <w:rFonts w:cs="Times New Roman"/>
                <w:sz w:val="20"/>
                <w:szCs w:val="20"/>
                <w:lang w:eastAsia="lv-LV"/>
              </w:rPr>
            </w:pPr>
            <w:r w:rsidRPr="000D3E8A">
              <w:rPr>
                <w:rFonts w:cs="Times New Roman"/>
                <w:sz w:val="20"/>
                <w:szCs w:val="20"/>
                <w:lang w:eastAsia="lv-LV"/>
              </w:rPr>
              <w:t>Latvijas Valsts koksnes ķīmijas institūts</w:t>
            </w:r>
          </w:p>
        </w:tc>
      </w:tr>
      <w:tr w14:paraId="676D1F4D" w14:textId="77777777" w:rsidTr="001D4D5A">
        <w:tblPrEx>
          <w:tblW w:w="5000" w:type="pct"/>
          <w:tblLook w:val="04A0"/>
        </w:tblPrEx>
        <w:tc>
          <w:tcPr>
            <w:tcW w:w="1168" w:type="pct"/>
          </w:tcPr>
          <w:p w:rsidR="0037384A" w:rsidRPr="000D3E8A" w:rsidP="00081CDA" w14:paraId="11463081" w14:textId="77777777">
            <w:pPr>
              <w:rPr>
                <w:rFonts w:cs="Times New Roman"/>
                <w:sz w:val="20"/>
                <w:szCs w:val="20"/>
              </w:rPr>
            </w:pPr>
            <w:r w:rsidRPr="000D3E8A">
              <w:rPr>
                <w:rFonts w:cs="Times New Roman"/>
                <w:sz w:val="20"/>
                <w:szCs w:val="20"/>
              </w:rPr>
              <w:t>LLU</w:t>
            </w:r>
          </w:p>
        </w:tc>
        <w:tc>
          <w:tcPr>
            <w:tcW w:w="3832" w:type="pct"/>
          </w:tcPr>
          <w:p w:rsidR="0037384A" w:rsidRPr="000D3E8A" w:rsidP="00223E08" w14:paraId="4CBF715F" w14:textId="77777777">
            <w:pPr>
              <w:ind w:firstLine="0"/>
              <w:rPr>
                <w:rFonts w:cs="Times New Roman"/>
                <w:sz w:val="20"/>
                <w:szCs w:val="20"/>
                <w:lang w:eastAsia="lv-LV"/>
              </w:rPr>
            </w:pPr>
            <w:r w:rsidRPr="000D3E8A">
              <w:rPr>
                <w:rFonts w:cs="Times New Roman"/>
                <w:sz w:val="20"/>
                <w:szCs w:val="20"/>
                <w:lang w:eastAsia="lv-LV"/>
              </w:rPr>
              <w:t>Latvijas Lauksaimniecības universitāte</w:t>
            </w:r>
          </w:p>
        </w:tc>
      </w:tr>
      <w:tr w14:paraId="48025169" w14:textId="77777777" w:rsidTr="001D4D5A">
        <w:tblPrEx>
          <w:tblW w:w="5000" w:type="pct"/>
          <w:tblLook w:val="04A0"/>
        </w:tblPrEx>
        <w:tc>
          <w:tcPr>
            <w:tcW w:w="1168" w:type="pct"/>
          </w:tcPr>
          <w:p w:rsidR="0037384A" w:rsidRPr="000D3E8A" w:rsidP="00081CDA" w14:paraId="6056CC59" w14:textId="77777777">
            <w:pPr>
              <w:rPr>
                <w:rFonts w:cs="Times New Roman"/>
                <w:sz w:val="20"/>
                <w:szCs w:val="20"/>
              </w:rPr>
            </w:pPr>
            <w:r w:rsidRPr="000D3E8A">
              <w:rPr>
                <w:rFonts w:cs="Times New Roman"/>
                <w:sz w:val="20"/>
                <w:szCs w:val="20"/>
              </w:rPr>
              <w:t>LU</w:t>
            </w:r>
          </w:p>
        </w:tc>
        <w:tc>
          <w:tcPr>
            <w:tcW w:w="3832" w:type="pct"/>
          </w:tcPr>
          <w:p w:rsidR="0037384A" w:rsidRPr="000D3E8A" w:rsidP="00223E08" w14:paraId="7CEA6A70" w14:textId="77777777">
            <w:pPr>
              <w:ind w:firstLine="0"/>
              <w:rPr>
                <w:rFonts w:cs="Times New Roman"/>
                <w:sz w:val="20"/>
                <w:szCs w:val="20"/>
                <w:lang w:eastAsia="lv-LV"/>
              </w:rPr>
            </w:pPr>
            <w:r w:rsidRPr="000D3E8A">
              <w:rPr>
                <w:rFonts w:cs="Times New Roman"/>
                <w:sz w:val="20"/>
                <w:szCs w:val="20"/>
                <w:lang w:eastAsia="lv-LV"/>
              </w:rPr>
              <w:t>Latvijas Universitāte</w:t>
            </w:r>
          </w:p>
        </w:tc>
      </w:tr>
      <w:tr w14:paraId="6E22E779" w14:textId="77777777" w:rsidTr="001D4D5A">
        <w:tblPrEx>
          <w:tblW w:w="5000" w:type="pct"/>
          <w:tblLook w:val="04A0"/>
        </w:tblPrEx>
        <w:tc>
          <w:tcPr>
            <w:tcW w:w="1168" w:type="pct"/>
          </w:tcPr>
          <w:p w:rsidR="0037384A" w:rsidRPr="000D3E8A" w:rsidP="00081CDA" w14:paraId="1BF9F367" w14:textId="77777777">
            <w:pPr>
              <w:rPr>
                <w:rFonts w:cs="Times New Roman"/>
                <w:sz w:val="20"/>
                <w:szCs w:val="20"/>
              </w:rPr>
            </w:pPr>
            <w:r w:rsidRPr="000D3E8A">
              <w:rPr>
                <w:rFonts w:cs="Times New Roman"/>
                <w:sz w:val="20"/>
                <w:szCs w:val="20"/>
              </w:rPr>
              <w:t>LU CFI</w:t>
            </w:r>
          </w:p>
        </w:tc>
        <w:tc>
          <w:tcPr>
            <w:tcW w:w="3832" w:type="pct"/>
          </w:tcPr>
          <w:p w:rsidR="0037384A" w:rsidRPr="000D3E8A" w:rsidP="00223E08" w14:paraId="5EFB6A1E" w14:textId="77777777">
            <w:pPr>
              <w:ind w:firstLine="0"/>
              <w:rPr>
                <w:rFonts w:cs="Times New Roman"/>
                <w:sz w:val="20"/>
                <w:szCs w:val="20"/>
                <w:lang w:eastAsia="lv-LV"/>
              </w:rPr>
            </w:pPr>
            <w:r w:rsidRPr="000D3E8A">
              <w:rPr>
                <w:rFonts w:cs="Times New Roman"/>
                <w:sz w:val="20"/>
                <w:szCs w:val="20"/>
                <w:lang w:eastAsia="lv-LV"/>
              </w:rPr>
              <w:t>Latvijas Universitātes Cietvielu fizikas institūts</w:t>
            </w:r>
          </w:p>
        </w:tc>
      </w:tr>
      <w:tr w14:paraId="0E336BC4" w14:textId="77777777" w:rsidTr="001D4D5A">
        <w:tblPrEx>
          <w:tblW w:w="5000" w:type="pct"/>
          <w:tblLook w:val="04A0"/>
        </w:tblPrEx>
        <w:tc>
          <w:tcPr>
            <w:tcW w:w="1168" w:type="pct"/>
          </w:tcPr>
          <w:p w:rsidR="0037384A" w:rsidRPr="000D3E8A" w:rsidP="00081CDA" w14:paraId="4C170059" w14:textId="77777777">
            <w:pPr>
              <w:rPr>
                <w:rFonts w:cs="Times New Roman"/>
                <w:sz w:val="20"/>
                <w:szCs w:val="20"/>
              </w:rPr>
            </w:pPr>
            <w:r w:rsidRPr="000D3E8A">
              <w:rPr>
                <w:rFonts w:cs="Times New Roman"/>
                <w:sz w:val="20"/>
                <w:szCs w:val="20"/>
              </w:rPr>
              <w:t>LU LFMI</w:t>
            </w:r>
          </w:p>
        </w:tc>
        <w:tc>
          <w:tcPr>
            <w:tcW w:w="3832" w:type="pct"/>
          </w:tcPr>
          <w:p w:rsidR="0037384A" w:rsidRPr="000D3E8A" w:rsidP="00223E08" w14:paraId="297525AF" w14:textId="77777777">
            <w:pPr>
              <w:ind w:firstLine="0"/>
              <w:rPr>
                <w:rFonts w:cs="Times New Roman"/>
                <w:sz w:val="20"/>
                <w:szCs w:val="20"/>
                <w:lang w:eastAsia="lv-LV"/>
              </w:rPr>
            </w:pPr>
            <w:r w:rsidRPr="000D3E8A">
              <w:rPr>
                <w:rFonts w:cs="Times New Roman"/>
                <w:sz w:val="20"/>
                <w:szCs w:val="20"/>
                <w:lang w:eastAsia="lv-LV"/>
              </w:rPr>
              <w:t>Latvijas Universitātes Literatūras, folkloras un mākslas institūts</w:t>
            </w:r>
          </w:p>
        </w:tc>
      </w:tr>
      <w:tr w14:paraId="3AEC8EF6" w14:textId="77777777" w:rsidTr="001D4D5A">
        <w:tblPrEx>
          <w:tblW w:w="5000" w:type="pct"/>
          <w:tblLook w:val="04A0"/>
        </w:tblPrEx>
        <w:tc>
          <w:tcPr>
            <w:tcW w:w="1168" w:type="pct"/>
          </w:tcPr>
          <w:p w:rsidR="0037384A" w:rsidRPr="000D3E8A" w:rsidP="00081CDA" w14:paraId="65B9F2BA" w14:textId="77777777">
            <w:pPr>
              <w:rPr>
                <w:rFonts w:cs="Times New Roman"/>
                <w:sz w:val="20"/>
                <w:szCs w:val="20"/>
              </w:rPr>
            </w:pPr>
            <w:r w:rsidRPr="000D3E8A">
              <w:rPr>
                <w:rFonts w:cs="Times New Roman"/>
                <w:sz w:val="20"/>
                <w:szCs w:val="20"/>
              </w:rPr>
              <w:t>LU MII</w:t>
            </w:r>
          </w:p>
        </w:tc>
        <w:tc>
          <w:tcPr>
            <w:tcW w:w="3832" w:type="pct"/>
          </w:tcPr>
          <w:p w:rsidR="0037384A" w:rsidRPr="000D3E8A" w:rsidP="00223E08" w14:paraId="29A1B013" w14:textId="77777777">
            <w:pPr>
              <w:ind w:firstLine="0"/>
              <w:rPr>
                <w:rFonts w:cs="Times New Roman"/>
                <w:sz w:val="20"/>
                <w:szCs w:val="20"/>
                <w:lang w:eastAsia="lv-LV"/>
              </w:rPr>
            </w:pPr>
            <w:r w:rsidRPr="000D3E8A">
              <w:rPr>
                <w:rFonts w:cs="Times New Roman"/>
                <w:sz w:val="20"/>
                <w:szCs w:val="20"/>
                <w:lang w:eastAsia="lv-LV"/>
              </w:rPr>
              <w:t>Latvijas Universitātes Matemātikas un informātikas institūts</w:t>
            </w:r>
          </w:p>
        </w:tc>
      </w:tr>
      <w:tr w14:paraId="7FD823C7" w14:textId="77777777" w:rsidTr="001D4D5A">
        <w:tblPrEx>
          <w:tblW w:w="5000" w:type="pct"/>
          <w:tblLook w:val="04A0"/>
        </w:tblPrEx>
        <w:tc>
          <w:tcPr>
            <w:tcW w:w="1168" w:type="pct"/>
          </w:tcPr>
          <w:p w:rsidR="0037384A" w:rsidRPr="000D3E8A" w:rsidP="00081CDA" w14:paraId="203546D7" w14:textId="77777777">
            <w:pPr>
              <w:rPr>
                <w:rFonts w:cs="Times New Roman"/>
                <w:sz w:val="20"/>
                <w:szCs w:val="20"/>
              </w:rPr>
            </w:pPr>
            <w:r w:rsidRPr="000D3E8A">
              <w:rPr>
                <w:rFonts w:cs="Times New Roman"/>
                <w:sz w:val="20"/>
                <w:szCs w:val="20"/>
              </w:rPr>
              <w:t>LVMI “Silava”</w:t>
            </w:r>
          </w:p>
        </w:tc>
        <w:tc>
          <w:tcPr>
            <w:tcW w:w="3832" w:type="pct"/>
          </w:tcPr>
          <w:p w:rsidR="0037384A" w:rsidRPr="000D3E8A" w:rsidP="00223E08" w14:paraId="36EB66EB" w14:textId="77777777">
            <w:pPr>
              <w:ind w:firstLine="0"/>
              <w:rPr>
                <w:rFonts w:cs="Times New Roman"/>
                <w:sz w:val="20"/>
                <w:szCs w:val="20"/>
                <w:lang w:eastAsia="lv-LV"/>
              </w:rPr>
            </w:pPr>
            <w:r w:rsidRPr="000D3E8A">
              <w:rPr>
                <w:rFonts w:cs="Times New Roman"/>
                <w:sz w:val="20"/>
                <w:szCs w:val="20"/>
                <w:lang w:eastAsia="lv-LV"/>
              </w:rPr>
              <w:t>Latvijas Valsts mežzinātnes institūts "Silava"</w:t>
            </w:r>
          </w:p>
        </w:tc>
      </w:tr>
      <w:tr w14:paraId="387C03E5" w14:textId="77777777" w:rsidTr="001D4D5A">
        <w:tblPrEx>
          <w:tblW w:w="5000" w:type="pct"/>
          <w:tblLook w:val="04A0"/>
        </w:tblPrEx>
        <w:tc>
          <w:tcPr>
            <w:tcW w:w="1168" w:type="pct"/>
          </w:tcPr>
          <w:p w:rsidR="0037384A" w:rsidRPr="003C0B53" w:rsidP="00223E08" w14:paraId="21E18467" w14:textId="77777777">
            <w:pPr>
              <w:ind w:firstLine="0"/>
              <w:rPr>
                <w:sz w:val="20"/>
              </w:rPr>
            </w:pPr>
            <w:r w:rsidRPr="003C0B53">
              <w:rPr>
                <w:spacing w:val="-2"/>
                <w:sz w:val="20"/>
              </w:rPr>
              <w:t>MK noteikumi Nr. 34</w:t>
            </w:r>
          </w:p>
        </w:tc>
        <w:tc>
          <w:tcPr>
            <w:tcW w:w="3832" w:type="pct"/>
          </w:tcPr>
          <w:p w:rsidR="0037384A" w:rsidRPr="003C0B53" w:rsidP="00223E08" w14:paraId="63A127AD" w14:textId="77777777">
            <w:pPr>
              <w:ind w:firstLine="0"/>
              <w:rPr>
                <w:sz w:val="20"/>
              </w:rPr>
            </w:pPr>
            <w:r w:rsidRPr="003C0B53">
              <w:rPr>
                <w:spacing w:val="-2"/>
                <w:sz w:val="20"/>
              </w:rPr>
              <w:t>MK 12.01.2016. noteikumi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c>
      </w:tr>
      <w:tr w14:paraId="5AEA954F" w14:textId="77777777" w:rsidTr="001D4D5A">
        <w:tblPrEx>
          <w:tblW w:w="5000" w:type="pct"/>
          <w:tblLook w:val="04A0"/>
        </w:tblPrEx>
        <w:tc>
          <w:tcPr>
            <w:tcW w:w="1168" w:type="pct"/>
          </w:tcPr>
          <w:p w:rsidR="0037384A" w:rsidRPr="003C0B53" w:rsidP="00223E08" w14:paraId="08AE3F30" w14:textId="77777777">
            <w:pPr>
              <w:ind w:firstLine="0"/>
              <w:rPr>
                <w:spacing w:val="-2"/>
                <w:sz w:val="20"/>
              </w:rPr>
            </w:pPr>
            <w:r w:rsidRPr="003C0B53">
              <w:rPr>
                <w:spacing w:val="-2"/>
                <w:sz w:val="20"/>
              </w:rPr>
              <w:t>MK noteikumi Nr. 50</w:t>
            </w:r>
          </w:p>
        </w:tc>
        <w:tc>
          <w:tcPr>
            <w:tcW w:w="3832" w:type="pct"/>
          </w:tcPr>
          <w:p w:rsidR="0037384A" w:rsidRPr="003C0B53" w:rsidP="00223E08" w14:paraId="1FBAC37F" w14:textId="77777777">
            <w:pPr>
              <w:ind w:firstLine="0"/>
              <w:rPr>
                <w:spacing w:val="-2"/>
                <w:sz w:val="20"/>
              </w:rPr>
            </w:pPr>
            <w:r w:rsidRPr="003C0B53">
              <w:rPr>
                <w:sz w:val="20"/>
              </w:rPr>
              <w:t xml:space="preserve">MK 19.01.2016. noteikumiem Nr. 50 “Darbības programmas “Izaugsme un nodarbinātība” 1.1.1. specifiskā atbalsta mērķa “Palielināt Latvijas zinātnisko institūciju pētniecisko un inovatīvo kapacitāti un spēju piesaistīt ārējo finansējumu, ieguldot cilvēkresursos un </w:t>
            </w:r>
            <w:r w:rsidRPr="003C0B53">
              <w:rPr>
                <w:sz w:val="20"/>
              </w:rPr>
              <w:t>infrastruktūrā” 1.1.1.2. pasākuma “Pēcdoktorantūras pētniecības atbalsts” īstenošanas noteikumi”</w:t>
            </w:r>
          </w:p>
        </w:tc>
      </w:tr>
      <w:tr w14:paraId="096F080B" w14:textId="77777777" w:rsidTr="001D4D5A">
        <w:tblPrEx>
          <w:tblW w:w="5000" w:type="pct"/>
          <w:tblLook w:val="04A0"/>
        </w:tblPrEx>
        <w:tc>
          <w:tcPr>
            <w:tcW w:w="1168" w:type="pct"/>
          </w:tcPr>
          <w:p w:rsidR="0037384A" w:rsidRPr="006D3501" w:rsidP="00081CDA" w14:paraId="746EDE0C" w14:textId="77777777">
            <w:pPr>
              <w:rPr>
                <w:rFonts w:cs="Times New Roman"/>
                <w:sz w:val="20"/>
                <w:szCs w:val="20"/>
                <w:lang w:eastAsia="lv-LV"/>
              </w:rPr>
            </w:pPr>
            <w:r w:rsidRPr="006D3501">
              <w:rPr>
                <w:rFonts w:cs="Times New Roman"/>
                <w:sz w:val="20"/>
                <w:szCs w:val="20"/>
                <w:lang w:eastAsia="lv-LV"/>
              </w:rPr>
              <w:t>MVU</w:t>
            </w:r>
          </w:p>
        </w:tc>
        <w:tc>
          <w:tcPr>
            <w:tcW w:w="3832" w:type="pct"/>
          </w:tcPr>
          <w:p w:rsidR="0037384A" w:rsidRPr="006D3501" w:rsidP="00223E08" w14:paraId="5C497735" w14:textId="77777777">
            <w:pPr>
              <w:ind w:firstLine="0"/>
              <w:rPr>
                <w:rFonts w:cs="Times New Roman"/>
                <w:sz w:val="20"/>
                <w:szCs w:val="20"/>
                <w:lang w:eastAsia="lv-LV"/>
              </w:rPr>
            </w:pPr>
            <w:r w:rsidRPr="006D3501">
              <w:rPr>
                <w:rFonts w:cs="Times New Roman"/>
                <w:sz w:val="20"/>
                <w:szCs w:val="20"/>
                <w:lang w:eastAsia="lv-LV"/>
              </w:rPr>
              <w:t>mazie un vid</w:t>
            </w:r>
            <w:r w:rsidRPr="006D3501">
              <w:rPr>
                <w:rFonts w:cs="Times New Roman" w:hint="eastAsia"/>
                <w:sz w:val="20"/>
                <w:szCs w:val="20"/>
                <w:lang w:eastAsia="lv-LV"/>
              </w:rPr>
              <w:t>ē</w:t>
            </w:r>
            <w:r w:rsidRPr="006D3501">
              <w:rPr>
                <w:rFonts w:cs="Times New Roman"/>
                <w:sz w:val="20"/>
                <w:szCs w:val="20"/>
                <w:lang w:eastAsia="lv-LV"/>
              </w:rPr>
              <w:t>jie uz</w:t>
            </w:r>
            <w:r w:rsidRPr="006D3501">
              <w:rPr>
                <w:rFonts w:cs="Times New Roman" w:hint="eastAsia"/>
                <w:sz w:val="20"/>
                <w:szCs w:val="20"/>
                <w:lang w:eastAsia="lv-LV"/>
              </w:rPr>
              <w:t>ņē</w:t>
            </w:r>
            <w:r w:rsidRPr="006D3501">
              <w:rPr>
                <w:rFonts w:cs="Times New Roman"/>
                <w:sz w:val="20"/>
                <w:szCs w:val="20"/>
                <w:lang w:eastAsia="lv-LV"/>
              </w:rPr>
              <w:t xml:space="preserve">mumi </w:t>
            </w:r>
          </w:p>
        </w:tc>
      </w:tr>
      <w:tr w14:paraId="3DA33F57" w14:textId="77777777" w:rsidTr="001D4D5A">
        <w:tblPrEx>
          <w:tblW w:w="5000" w:type="pct"/>
          <w:tblLook w:val="04A0"/>
        </w:tblPrEx>
        <w:tc>
          <w:tcPr>
            <w:tcW w:w="1168" w:type="pct"/>
          </w:tcPr>
          <w:p w:rsidR="0037384A" w:rsidRPr="000D3E8A" w:rsidP="00081CDA" w14:paraId="03945508" w14:textId="77777777">
            <w:pPr>
              <w:rPr>
                <w:rFonts w:cs="Times New Roman"/>
                <w:sz w:val="20"/>
                <w:szCs w:val="20"/>
              </w:rPr>
            </w:pPr>
            <w:r w:rsidRPr="000D3E8A">
              <w:rPr>
                <w:rFonts w:cs="Times New Roman"/>
                <w:sz w:val="20"/>
                <w:szCs w:val="20"/>
              </w:rPr>
              <w:t>OSI</w:t>
            </w:r>
          </w:p>
        </w:tc>
        <w:tc>
          <w:tcPr>
            <w:tcW w:w="3832" w:type="pct"/>
          </w:tcPr>
          <w:p w:rsidR="0037384A" w:rsidRPr="000D3E8A" w:rsidP="00223E08" w14:paraId="6C8ECEDF" w14:textId="77777777">
            <w:pPr>
              <w:ind w:firstLine="0"/>
              <w:rPr>
                <w:rFonts w:cs="Times New Roman"/>
                <w:sz w:val="20"/>
                <w:szCs w:val="20"/>
                <w:lang w:eastAsia="lv-LV"/>
              </w:rPr>
            </w:pPr>
            <w:r w:rsidRPr="000D3E8A">
              <w:rPr>
                <w:rFonts w:cs="Times New Roman"/>
                <w:sz w:val="20"/>
                <w:szCs w:val="20"/>
                <w:lang w:eastAsia="lv-LV"/>
              </w:rPr>
              <w:t>Latvijas Organiskās sintēzes institūts</w:t>
            </w:r>
          </w:p>
        </w:tc>
      </w:tr>
      <w:tr w14:paraId="73BE7862" w14:textId="77777777" w:rsidTr="001D4D5A">
        <w:tblPrEx>
          <w:tblW w:w="5000" w:type="pct"/>
          <w:tblLook w:val="04A0"/>
        </w:tblPrEx>
        <w:tc>
          <w:tcPr>
            <w:tcW w:w="1168" w:type="pct"/>
          </w:tcPr>
          <w:p w:rsidR="0037384A" w:rsidRPr="003C0B53" w:rsidP="00081CDA" w14:paraId="3AC1D009" w14:textId="77777777">
            <w:pPr>
              <w:rPr>
                <w:sz w:val="20"/>
              </w:rPr>
            </w:pPr>
            <w:r w:rsidRPr="003C0B53">
              <w:rPr>
                <w:sz w:val="20"/>
              </w:rPr>
              <w:t>P&amp;A</w:t>
            </w:r>
          </w:p>
        </w:tc>
        <w:tc>
          <w:tcPr>
            <w:tcW w:w="3832" w:type="pct"/>
          </w:tcPr>
          <w:p w:rsidR="0037384A" w:rsidRPr="003C0B53" w:rsidP="00223E08" w14:paraId="3856C488" w14:textId="77777777">
            <w:pPr>
              <w:ind w:firstLine="0"/>
              <w:rPr>
                <w:sz w:val="20"/>
              </w:rPr>
            </w:pPr>
            <w:r w:rsidRPr="003C0B53">
              <w:rPr>
                <w:sz w:val="20"/>
              </w:rPr>
              <w:t>Pētniecība un attīstība</w:t>
            </w:r>
          </w:p>
        </w:tc>
      </w:tr>
      <w:tr w14:paraId="1719D8A5" w14:textId="77777777" w:rsidTr="001D4D5A">
        <w:tblPrEx>
          <w:tblW w:w="5000" w:type="pct"/>
          <w:tblLook w:val="04A0"/>
        </w:tblPrEx>
        <w:tc>
          <w:tcPr>
            <w:tcW w:w="1168" w:type="pct"/>
          </w:tcPr>
          <w:p w:rsidR="0037384A" w:rsidRPr="000D3E8A" w:rsidP="001D4D5A" w14:paraId="6D1D45C7" w14:textId="77777777">
            <w:pPr>
              <w:ind w:firstLine="0"/>
              <w:rPr>
                <w:rFonts w:cs="Times New Roman"/>
                <w:sz w:val="20"/>
                <w:szCs w:val="20"/>
              </w:rPr>
            </w:pPr>
            <w:r w:rsidRPr="000D3E8A">
              <w:rPr>
                <w:rFonts w:cs="Times New Roman"/>
                <w:sz w:val="20"/>
                <w:szCs w:val="20"/>
              </w:rPr>
              <w:t xml:space="preserve">pamatprogramma “Apvārsnis 2020” </w:t>
            </w:r>
          </w:p>
        </w:tc>
        <w:tc>
          <w:tcPr>
            <w:tcW w:w="3832" w:type="pct"/>
          </w:tcPr>
          <w:p w:rsidR="0037384A" w:rsidRPr="000D3E8A" w:rsidP="00223E08" w14:paraId="170ADF01" w14:textId="77777777">
            <w:pPr>
              <w:ind w:firstLine="0"/>
              <w:rPr>
                <w:rFonts w:cs="Times New Roman"/>
                <w:sz w:val="20"/>
                <w:szCs w:val="20"/>
              </w:rPr>
            </w:pPr>
            <w:r w:rsidRPr="000D3E8A">
              <w:rPr>
                <w:rFonts w:cs="Times New Roman"/>
                <w:sz w:val="20"/>
                <w:szCs w:val="20"/>
              </w:rPr>
              <w:t>Eiropas Savienības pētniecības un inovācijas pamatprogramma “Apvārsnis 2020”</w:t>
            </w:r>
          </w:p>
        </w:tc>
      </w:tr>
      <w:tr w14:paraId="5EB9F871" w14:textId="77777777" w:rsidTr="001D4D5A">
        <w:tblPrEx>
          <w:tblW w:w="5000" w:type="pct"/>
          <w:tblLook w:val="04A0"/>
        </w:tblPrEx>
        <w:tc>
          <w:tcPr>
            <w:tcW w:w="1168" w:type="pct"/>
          </w:tcPr>
          <w:p w:rsidR="0037384A" w:rsidRPr="003C0B53" w:rsidP="001D4D5A" w14:paraId="5598FD05" w14:textId="77777777">
            <w:pPr>
              <w:ind w:firstLine="0"/>
              <w:rPr>
                <w:sz w:val="20"/>
              </w:rPr>
            </w:pPr>
            <w:r w:rsidRPr="003C0B53">
              <w:rPr>
                <w:sz w:val="20"/>
              </w:rPr>
              <w:t>pētniecības projekta iesniegums / pētniecības projekts</w:t>
            </w:r>
          </w:p>
        </w:tc>
        <w:tc>
          <w:tcPr>
            <w:tcW w:w="3832" w:type="pct"/>
          </w:tcPr>
          <w:p w:rsidR="0037384A" w:rsidRPr="003C0B53" w:rsidP="00223E08" w14:paraId="692F82CE" w14:textId="77777777">
            <w:pPr>
              <w:ind w:firstLine="0"/>
              <w:rPr>
                <w:sz w:val="20"/>
              </w:rPr>
            </w:pPr>
            <w:r w:rsidRPr="003C0B53">
              <w:rPr>
                <w:sz w:val="20"/>
              </w:rPr>
              <w:t>Projekta iesniegums 1.1.1.1. pasākuma ietvaros un pētniecības pieteikums 1.1.1.2. pasākuma ietvaros</w:t>
            </w:r>
          </w:p>
        </w:tc>
      </w:tr>
      <w:tr w14:paraId="13F14098" w14:textId="77777777" w:rsidTr="001D4D5A">
        <w:tblPrEx>
          <w:tblW w:w="5000" w:type="pct"/>
          <w:tblLook w:val="04A0"/>
        </w:tblPrEx>
        <w:tc>
          <w:tcPr>
            <w:tcW w:w="1168" w:type="pct"/>
          </w:tcPr>
          <w:p w:rsidR="0037384A" w:rsidRPr="000D3E8A" w:rsidP="00081CDA" w14:paraId="1F7CFE90" w14:textId="77777777">
            <w:pPr>
              <w:rPr>
                <w:rFonts w:cs="Times New Roman"/>
                <w:sz w:val="20"/>
                <w:szCs w:val="20"/>
              </w:rPr>
            </w:pPr>
            <w:r>
              <w:rPr>
                <w:rFonts w:cs="Times New Roman"/>
                <w:sz w:val="20"/>
                <w:szCs w:val="20"/>
              </w:rPr>
              <w:t>pētnieks</w:t>
            </w:r>
          </w:p>
        </w:tc>
        <w:tc>
          <w:tcPr>
            <w:tcW w:w="3832" w:type="pct"/>
          </w:tcPr>
          <w:p w:rsidR="0037384A" w:rsidRPr="000D3E8A" w:rsidP="00223E08" w14:paraId="193EA94A" w14:textId="77777777">
            <w:pPr>
              <w:ind w:firstLine="0"/>
              <w:rPr>
                <w:rFonts w:cs="Times New Roman"/>
                <w:sz w:val="20"/>
                <w:szCs w:val="20"/>
              </w:rPr>
            </w:pPr>
            <w:r>
              <w:rPr>
                <w:rFonts w:cs="Times New Roman"/>
                <w:sz w:val="20"/>
                <w:szCs w:val="20"/>
              </w:rPr>
              <w:t xml:space="preserve">Persona, kas tieši iesaistīta pētniecības īstenošanā – </w:t>
            </w:r>
            <w:r w:rsidRPr="006854BC">
              <w:rPr>
                <w:rFonts w:cs="Times New Roman"/>
                <w:sz w:val="20"/>
                <w:szCs w:val="20"/>
              </w:rPr>
              <w:t>zinātnes tehniskais personāls, zinātniskais asistents, pētnieks, vadošais pētnieks</w:t>
            </w:r>
          </w:p>
        </w:tc>
      </w:tr>
      <w:tr w14:paraId="76471708" w14:textId="77777777" w:rsidTr="001D4D5A">
        <w:tblPrEx>
          <w:tblW w:w="5000" w:type="pct"/>
          <w:tblLook w:val="04A0"/>
        </w:tblPrEx>
        <w:tc>
          <w:tcPr>
            <w:tcW w:w="1168" w:type="pct"/>
          </w:tcPr>
          <w:p w:rsidR="0037384A" w:rsidRPr="003C0B53" w:rsidP="00081CDA" w14:paraId="2947D05A" w14:textId="77777777">
            <w:pPr>
              <w:rPr>
                <w:sz w:val="20"/>
              </w:rPr>
            </w:pPr>
            <w:r w:rsidRPr="003C0B53">
              <w:rPr>
                <w:sz w:val="20"/>
              </w:rPr>
              <w:t>pirmā kārta</w:t>
            </w:r>
          </w:p>
        </w:tc>
        <w:tc>
          <w:tcPr>
            <w:tcW w:w="3832" w:type="pct"/>
          </w:tcPr>
          <w:p w:rsidR="0037384A" w:rsidRPr="003C0B53" w:rsidP="00223E08" w14:paraId="4310CAF6" w14:textId="77777777">
            <w:pPr>
              <w:ind w:firstLine="0"/>
              <w:rPr>
                <w:sz w:val="20"/>
              </w:rPr>
            </w:pPr>
            <w:r w:rsidRPr="003C0B53">
              <w:rPr>
                <w:sz w:val="20"/>
              </w:rPr>
              <w:t>Pirmā projektu iesniegumu atlases kārta SAM 1.1.1. pasākumu ietvaros</w:t>
            </w:r>
          </w:p>
        </w:tc>
      </w:tr>
      <w:tr w14:paraId="144EEBA1" w14:textId="77777777" w:rsidTr="001D4D5A">
        <w:tblPrEx>
          <w:tblW w:w="5000" w:type="pct"/>
          <w:tblLook w:val="04A0"/>
        </w:tblPrEx>
        <w:tc>
          <w:tcPr>
            <w:tcW w:w="1168" w:type="pct"/>
          </w:tcPr>
          <w:p w:rsidR="0037384A" w:rsidRPr="003C0B53" w:rsidP="00081CDA" w14:paraId="204B7BAE" w14:textId="77777777">
            <w:pPr>
              <w:rPr>
                <w:sz w:val="20"/>
              </w:rPr>
            </w:pPr>
            <w:r w:rsidRPr="003C0B53">
              <w:rPr>
                <w:i/>
                <w:sz w:val="20"/>
              </w:rPr>
              <w:t>PostDoc</w:t>
            </w:r>
            <w:r w:rsidRPr="003C0B53">
              <w:rPr>
                <w:sz w:val="20"/>
              </w:rPr>
              <w:t xml:space="preserve"> IT sistēma</w:t>
            </w:r>
          </w:p>
        </w:tc>
        <w:tc>
          <w:tcPr>
            <w:tcW w:w="3832" w:type="pct"/>
          </w:tcPr>
          <w:p w:rsidR="0037384A" w:rsidRPr="003C0B53" w:rsidP="00223E08" w14:paraId="0AD479BD" w14:textId="77777777">
            <w:pPr>
              <w:ind w:firstLine="0"/>
              <w:rPr>
                <w:sz w:val="20"/>
              </w:rPr>
            </w:pPr>
            <w:r w:rsidRPr="003C0B53">
              <w:rPr>
                <w:sz w:val="20"/>
              </w:rPr>
              <w:t xml:space="preserve">VIAA izveidotā pēcdoktorantūtas pētniecības pieteikumu informācijas </w:t>
            </w:r>
            <w:r w:rsidRPr="000D3E8A">
              <w:rPr>
                <w:rFonts w:cs="Times New Roman"/>
                <w:sz w:val="20"/>
                <w:szCs w:val="20"/>
              </w:rPr>
              <w:t>sistēma</w:t>
            </w:r>
            <w:r w:rsidRPr="003C0B53">
              <w:rPr>
                <w:sz w:val="20"/>
              </w:rPr>
              <w:t xml:space="preserve"> </w:t>
            </w:r>
          </w:p>
        </w:tc>
      </w:tr>
      <w:tr w14:paraId="670FA14F" w14:textId="77777777" w:rsidTr="001D4D5A">
        <w:tblPrEx>
          <w:tblW w:w="5000" w:type="pct"/>
          <w:tblLook w:val="04A0"/>
        </w:tblPrEx>
        <w:tc>
          <w:tcPr>
            <w:tcW w:w="1168" w:type="pct"/>
          </w:tcPr>
          <w:p w:rsidR="0037384A" w:rsidRPr="003C0B53" w:rsidP="00081CDA" w14:paraId="32B23A29" w14:textId="77777777">
            <w:pPr>
              <w:rPr>
                <w:sz w:val="20"/>
              </w:rPr>
            </w:pPr>
            <w:r w:rsidRPr="003C0B53">
              <w:rPr>
                <w:sz w:val="20"/>
              </w:rPr>
              <w:t>RIS3</w:t>
            </w:r>
          </w:p>
        </w:tc>
        <w:tc>
          <w:tcPr>
            <w:tcW w:w="3832" w:type="pct"/>
          </w:tcPr>
          <w:p w:rsidR="0037384A" w:rsidRPr="003C0B53" w:rsidP="00223E08" w14:paraId="7A6DF2FC" w14:textId="77777777">
            <w:pPr>
              <w:ind w:firstLine="0"/>
              <w:rPr>
                <w:sz w:val="20"/>
              </w:rPr>
            </w:pPr>
            <w:r w:rsidRPr="003C0B53">
              <w:rPr>
                <w:sz w:val="20"/>
              </w:rPr>
              <w:t>Latvijas Viedās specializācijas stratēģija</w:t>
            </w:r>
          </w:p>
        </w:tc>
      </w:tr>
      <w:tr w14:paraId="19440896" w14:textId="77777777" w:rsidTr="001D4D5A">
        <w:tblPrEx>
          <w:tblW w:w="5000" w:type="pct"/>
          <w:tblLook w:val="04A0"/>
        </w:tblPrEx>
        <w:tc>
          <w:tcPr>
            <w:tcW w:w="1168" w:type="pct"/>
          </w:tcPr>
          <w:p w:rsidR="0037384A" w:rsidRPr="000D3E8A" w:rsidP="00081CDA" w14:paraId="5DAC45F7" w14:textId="77777777">
            <w:pPr>
              <w:rPr>
                <w:rFonts w:cs="Times New Roman"/>
                <w:sz w:val="20"/>
                <w:szCs w:val="20"/>
              </w:rPr>
            </w:pPr>
            <w:r w:rsidRPr="000D3E8A">
              <w:rPr>
                <w:rFonts w:cs="Times New Roman"/>
                <w:sz w:val="20"/>
                <w:szCs w:val="20"/>
              </w:rPr>
              <w:t>RSU</w:t>
            </w:r>
          </w:p>
        </w:tc>
        <w:tc>
          <w:tcPr>
            <w:tcW w:w="3832" w:type="pct"/>
          </w:tcPr>
          <w:p w:rsidR="0037384A" w:rsidRPr="000D3E8A" w:rsidP="00223E08" w14:paraId="3504EEA5" w14:textId="77777777">
            <w:pPr>
              <w:ind w:firstLine="0"/>
              <w:rPr>
                <w:rFonts w:cs="Times New Roman"/>
                <w:sz w:val="20"/>
                <w:szCs w:val="20"/>
                <w:lang w:eastAsia="lv-LV"/>
              </w:rPr>
            </w:pPr>
            <w:r w:rsidRPr="000D3E8A">
              <w:rPr>
                <w:rFonts w:cs="Times New Roman"/>
                <w:sz w:val="20"/>
                <w:szCs w:val="20"/>
                <w:lang w:eastAsia="lv-LV"/>
              </w:rPr>
              <w:t>Rīgas Stradiņa universitāte</w:t>
            </w:r>
          </w:p>
        </w:tc>
      </w:tr>
      <w:tr w14:paraId="3738A943" w14:textId="77777777" w:rsidTr="001D4D5A">
        <w:tblPrEx>
          <w:tblW w:w="5000" w:type="pct"/>
          <w:tblLook w:val="04A0"/>
        </w:tblPrEx>
        <w:tc>
          <w:tcPr>
            <w:tcW w:w="1168" w:type="pct"/>
          </w:tcPr>
          <w:p w:rsidR="0037384A" w:rsidRPr="000D3E8A" w:rsidP="00081CDA" w14:paraId="620A1165" w14:textId="77777777">
            <w:pPr>
              <w:rPr>
                <w:rFonts w:cs="Times New Roman"/>
                <w:sz w:val="20"/>
                <w:szCs w:val="20"/>
              </w:rPr>
            </w:pPr>
            <w:r w:rsidRPr="000D3E8A">
              <w:rPr>
                <w:rFonts w:cs="Times New Roman"/>
                <w:sz w:val="20"/>
                <w:szCs w:val="20"/>
              </w:rPr>
              <w:t>RTU</w:t>
            </w:r>
          </w:p>
        </w:tc>
        <w:tc>
          <w:tcPr>
            <w:tcW w:w="3832" w:type="pct"/>
          </w:tcPr>
          <w:p w:rsidR="0037384A" w:rsidRPr="000D3E8A" w:rsidP="00223E08" w14:paraId="374A44A8" w14:textId="77777777">
            <w:pPr>
              <w:ind w:firstLine="0"/>
              <w:rPr>
                <w:rFonts w:cs="Times New Roman"/>
                <w:sz w:val="20"/>
                <w:szCs w:val="20"/>
                <w:lang w:eastAsia="lv-LV"/>
              </w:rPr>
            </w:pPr>
            <w:r w:rsidRPr="000D3E8A">
              <w:rPr>
                <w:rFonts w:cs="Times New Roman"/>
                <w:sz w:val="20"/>
                <w:szCs w:val="20"/>
                <w:lang w:eastAsia="lv-LV"/>
              </w:rPr>
              <w:t>Rīgas Tehniskā universitāte</w:t>
            </w:r>
          </w:p>
        </w:tc>
      </w:tr>
      <w:tr w14:paraId="2F067A4F" w14:textId="77777777" w:rsidTr="001D4D5A">
        <w:tblPrEx>
          <w:tblW w:w="5000" w:type="pct"/>
          <w:tblLook w:val="04A0"/>
        </w:tblPrEx>
        <w:tc>
          <w:tcPr>
            <w:tcW w:w="1168" w:type="pct"/>
          </w:tcPr>
          <w:p w:rsidR="0037384A" w:rsidRPr="003C0B53" w:rsidP="00081CDA" w14:paraId="13C24D14" w14:textId="77777777">
            <w:pPr>
              <w:rPr>
                <w:sz w:val="20"/>
              </w:rPr>
            </w:pPr>
            <w:r w:rsidRPr="003C0B53">
              <w:rPr>
                <w:sz w:val="20"/>
              </w:rPr>
              <w:t>SAM 1.1.1.</w:t>
            </w:r>
          </w:p>
        </w:tc>
        <w:tc>
          <w:tcPr>
            <w:tcW w:w="3832" w:type="pct"/>
          </w:tcPr>
          <w:p w:rsidR="0037384A" w:rsidRPr="003C0B53" w:rsidP="00223E08" w14:paraId="2013B4A9" w14:textId="77777777">
            <w:pPr>
              <w:ind w:firstLine="0"/>
              <w:rPr>
                <w:sz w:val="20"/>
              </w:rPr>
            </w:pPr>
            <w:r w:rsidRPr="003C0B53">
              <w:rPr>
                <w:sz w:val="20"/>
              </w:rPr>
              <w:t xml:space="preserve">1.1.1.specifiskais atbalsta mērķis “Palielināt Latvijas zinātnisko institūciju pētniecisko un inovatīvo kapacitāti un spēju piesaistīt ārējo finansējumu, ieguldot cilvēkresursos un infrastruktūrā” </w:t>
            </w:r>
          </w:p>
        </w:tc>
      </w:tr>
      <w:tr w14:paraId="760113B9" w14:textId="77777777" w:rsidTr="001D4D5A">
        <w:tblPrEx>
          <w:tblW w:w="5000" w:type="pct"/>
          <w:tblLook w:val="04A0"/>
        </w:tblPrEx>
        <w:tc>
          <w:tcPr>
            <w:tcW w:w="1168" w:type="pct"/>
          </w:tcPr>
          <w:p w:rsidR="0037384A" w:rsidRPr="003C0B53" w:rsidP="00223E08" w14:paraId="268EE40B" w14:textId="77777777">
            <w:pPr>
              <w:ind w:firstLine="0"/>
              <w:rPr>
                <w:spacing w:val="-2"/>
                <w:sz w:val="20"/>
              </w:rPr>
            </w:pPr>
            <w:r w:rsidRPr="003C0B53">
              <w:rPr>
                <w:spacing w:val="-2"/>
                <w:sz w:val="20"/>
              </w:rPr>
              <w:t>SAM 1.1.1. pasākumi</w:t>
            </w:r>
          </w:p>
        </w:tc>
        <w:tc>
          <w:tcPr>
            <w:tcW w:w="3832" w:type="pct"/>
          </w:tcPr>
          <w:p w:rsidR="0037384A" w:rsidRPr="003C0B53" w:rsidP="00223E08" w14:paraId="52CF4E71" w14:textId="77777777">
            <w:pPr>
              <w:ind w:firstLine="0"/>
              <w:rPr>
                <w:spacing w:val="-2"/>
                <w:sz w:val="20"/>
              </w:rPr>
            </w:pPr>
            <w:r w:rsidRPr="003C0B53">
              <w:rPr>
                <w:spacing w:val="-2"/>
                <w:sz w:val="20"/>
              </w:rPr>
              <w:t xml:space="preserve">1.1.1.1. pasākums “Praktiskas ievirzes pētījumi” un 1.1.1.2. pasākums “Pēcdoktorantūras pētniecības atbalsts” </w:t>
            </w:r>
          </w:p>
        </w:tc>
      </w:tr>
      <w:tr w14:paraId="3B094CDE" w14:textId="77777777" w:rsidTr="001D4D5A">
        <w:tblPrEx>
          <w:tblW w:w="5000" w:type="pct"/>
          <w:tblLook w:val="04A0"/>
        </w:tblPrEx>
        <w:tc>
          <w:tcPr>
            <w:tcW w:w="1168" w:type="pct"/>
          </w:tcPr>
          <w:p w:rsidR="0037384A" w:rsidRPr="000D3E8A" w:rsidP="00081CDA" w14:paraId="2BD552C0" w14:textId="77777777">
            <w:pPr>
              <w:rPr>
                <w:rFonts w:cs="Times New Roman"/>
                <w:sz w:val="20"/>
                <w:szCs w:val="20"/>
              </w:rPr>
            </w:pPr>
            <w:r w:rsidRPr="000D3E8A">
              <w:rPr>
                <w:rFonts w:cs="Times New Roman"/>
                <w:sz w:val="20"/>
                <w:szCs w:val="20"/>
              </w:rPr>
              <w:t>VeA</w:t>
            </w:r>
          </w:p>
        </w:tc>
        <w:tc>
          <w:tcPr>
            <w:tcW w:w="3832" w:type="pct"/>
          </w:tcPr>
          <w:p w:rsidR="0037384A" w:rsidRPr="000D3E8A" w:rsidP="00223E08" w14:paraId="31D45D3A" w14:textId="77777777">
            <w:pPr>
              <w:ind w:firstLine="0"/>
              <w:rPr>
                <w:rFonts w:cs="Times New Roman"/>
                <w:sz w:val="20"/>
                <w:szCs w:val="20"/>
                <w:lang w:eastAsia="lv-LV"/>
              </w:rPr>
            </w:pPr>
            <w:r w:rsidRPr="000D3E8A">
              <w:rPr>
                <w:rFonts w:cs="Times New Roman"/>
                <w:sz w:val="20"/>
                <w:szCs w:val="20"/>
                <w:lang w:eastAsia="lv-LV"/>
              </w:rPr>
              <w:t>Ventspils Augstskola</w:t>
            </w:r>
          </w:p>
        </w:tc>
      </w:tr>
      <w:tr w14:paraId="25EF742B" w14:textId="77777777" w:rsidTr="001D4D5A">
        <w:tblPrEx>
          <w:tblW w:w="5000" w:type="pct"/>
          <w:tblLook w:val="04A0"/>
        </w:tblPrEx>
        <w:tc>
          <w:tcPr>
            <w:tcW w:w="1168" w:type="pct"/>
          </w:tcPr>
          <w:p w:rsidR="0037384A" w:rsidRPr="000D3E8A" w:rsidP="00142F45" w14:paraId="6ED6AF78" w14:textId="77777777">
            <w:pPr>
              <w:rPr>
                <w:rFonts w:cs="Times New Roman"/>
                <w:sz w:val="20"/>
                <w:szCs w:val="20"/>
              </w:rPr>
            </w:pPr>
            <w:r>
              <w:rPr>
                <w:rFonts w:cs="Times New Roman"/>
                <w:sz w:val="20"/>
                <w:szCs w:val="20"/>
              </w:rPr>
              <w:t xml:space="preserve">Vērtēšanas vadlīnijas </w:t>
            </w:r>
          </w:p>
        </w:tc>
        <w:tc>
          <w:tcPr>
            <w:tcW w:w="3832" w:type="pct"/>
          </w:tcPr>
          <w:p w:rsidR="0037384A" w:rsidRPr="000D3E8A" w:rsidP="00223E08" w14:paraId="3D169218" w14:textId="77777777">
            <w:pPr>
              <w:ind w:firstLine="0"/>
              <w:rPr>
                <w:rFonts w:cs="Times New Roman"/>
                <w:sz w:val="20"/>
                <w:szCs w:val="20"/>
                <w:lang w:eastAsia="lv-LV"/>
              </w:rPr>
            </w:pPr>
            <w:r w:rsidRPr="00142F45">
              <w:rPr>
                <w:rFonts w:cs="Times New Roman"/>
                <w:sz w:val="20"/>
                <w:szCs w:val="20"/>
                <w:lang w:eastAsia="lv-LV"/>
              </w:rPr>
              <w:t>pamatprogrammas “Apvārsnis 2020” projektu iesniegumu vērtēšanas vadlīnij</w:t>
            </w:r>
            <w:r>
              <w:rPr>
                <w:rFonts w:cs="Times New Roman"/>
                <w:sz w:val="20"/>
                <w:szCs w:val="20"/>
                <w:lang w:eastAsia="lv-LV"/>
              </w:rPr>
              <w:t>a</w:t>
            </w:r>
            <w:r w:rsidRPr="00142F45">
              <w:rPr>
                <w:rFonts w:cs="Times New Roman"/>
                <w:sz w:val="20"/>
                <w:szCs w:val="20"/>
                <w:lang w:eastAsia="lv-LV"/>
              </w:rPr>
              <w:t>s</w:t>
            </w:r>
          </w:p>
        </w:tc>
      </w:tr>
      <w:tr w14:paraId="19A44BC3" w14:textId="77777777" w:rsidTr="001D4D5A">
        <w:tblPrEx>
          <w:tblW w:w="5000" w:type="pct"/>
          <w:tblLook w:val="04A0"/>
        </w:tblPrEx>
        <w:tc>
          <w:tcPr>
            <w:tcW w:w="1168" w:type="pct"/>
          </w:tcPr>
          <w:p w:rsidR="0037384A" w:rsidRPr="000D3E8A" w:rsidP="00081CDA" w14:paraId="6E485A1A" w14:textId="77777777">
            <w:pPr>
              <w:rPr>
                <w:rFonts w:cs="Times New Roman"/>
                <w:sz w:val="20"/>
                <w:szCs w:val="20"/>
              </w:rPr>
            </w:pPr>
            <w:r w:rsidRPr="000D3E8A">
              <w:rPr>
                <w:rFonts w:cs="Times New Roman"/>
                <w:sz w:val="20"/>
                <w:szCs w:val="20"/>
              </w:rPr>
              <w:t>ViA</w:t>
            </w:r>
          </w:p>
        </w:tc>
        <w:tc>
          <w:tcPr>
            <w:tcW w:w="3832" w:type="pct"/>
          </w:tcPr>
          <w:p w:rsidR="0037384A" w:rsidRPr="000D3E8A" w:rsidP="00223E08" w14:paraId="68B59865" w14:textId="77777777">
            <w:pPr>
              <w:ind w:firstLine="0"/>
              <w:rPr>
                <w:rFonts w:cs="Times New Roman"/>
                <w:sz w:val="20"/>
                <w:szCs w:val="20"/>
                <w:lang w:eastAsia="lv-LV"/>
              </w:rPr>
            </w:pPr>
            <w:r w:rsidRPr="000D3E8A">
              <w:rPr>
                <w:rFonts w:cs="Times New Roman"/>
                <w:sz w:val="20"/>
                <w:szCs w:val="20"/>
                <w:lang w:eastAsia="lv-LV"/>
              </w:rPr>
              <w:t>Vidzemes Augstskola</w:t>
            </w:r>
          </w:p>
        </w:tc>
      </w:tr>
      <w:tr w14:paraId="49EDA11D" w14:textId="77777777" w:rsidTr="001D4D5A">
        <w:tblPrEx>
          <w:tblW w:w="5000" w:type="pct"/>
          <w:tblLook w:val="04A0"/>
        </w:tblPrEx>
        <w:tc>
          <w:tcPr>
            <w:tcW w:w="1168" w:type="pct"/>
          </w:tcPr>
          <w:p w:rsidR="0037384A" w:rsidRPr="003C0B53" w:rsidP="00081CDA" w14:paraId="4EFB2EFD" w14:textId="77777777">
            <w:pPr>
              <w:rPr>
                <w:sz w:val="20"/>
              </w:rPr>
            </w:pPr>
            <w:r w:rsidRPr="003C0B53">
              <w:rPr>
                <w:sz w:val="20"/>
              </w:rPr>
              <w:t>VIAA</w:t>
            </w:r>
          </w:p>
        </w:tc>
        <w:tc>
          <w:tcPr>
            <w:tcW w:w="3832" w:type="pct"/>
          </w:tcPr>
          <w:p w:rsidR="0037384A" w:rsidRPr="003C0B53" w:rsidP="00223E08" w14:paraId="15466DC3" w14:textId="77777777">
            <w:pPr>
              <w:ind w:firstLine="0"/>
              <w:rPr>
                <w:sz w:val="20"/>
              </w:rPr>
            </w:pPr>
            <w:r w:rsidRPr="003C0B53">
              <w:rPr>
                <w:sz w:val="20"/>
              </w:rPr>
              <w:t>Valsts izglītības attīstības aģentūra</w:t>
            </w:r>
          </w:p>
        </w:tc>
      </w:tr>
    </w:tbl>
    <w:p w:rsidR="000D05CB" w:rsidP="00B42383" w14:paraId="3C4AB61E" w14:textId="77777777">
      <w:pPr>
        <w:spacing w:before="0" w:after="0"/>
        <w:rPr>
          <w:rFonts w:eastAsia="Candara" w:cs="Times New Roman"/>
          <w:szCs w:val="24"/>
        </w:rPr>
      </w:pPr>
    </w:p>
    <w:p w:rsidR="00924EEA" w:rsidP="00B42383" w14:paraId="19397BE9" w14:textId="77777777">
      <w:pPr>
        <w:spacing w:before="0" w:after="0"/>
        <w:rPr>
          <w:rFonts w:eastAsia="Times New Roman" w:cs="Times New Roman"/>
          <w:szCs w:val="24"/>
        </w:rPr>
      </w:pPr>
    </w:p>
    <w:p w:rsidR="007C756F" w:rsidRPr="008E3F65" w:rsidP="00B42383" w14:paraId="4D535968" w14:textId="2F50200A">
      <w:pPr>
        <w:spacing w:before="0" w:after="0"/>
        <w:rPr>
          <w:rFonts w:eastAsia="Times New Roman" w:cs="Times New Roman"/>
          <w:szCs w:val="24"/>
        </w:rPr>
      </w:pPr>
      <w:r w:rsidRPr="008E3F65">
        <w:rPr>
          <w:rFonts w:eastAsia="Times New Roman" w:cs="Times New Roman"/>
          <w:szCs w:val="24"/>
        </w:rPr>
        <w:t>Ministru prezidents</w:t>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Pr="008E3F65" w:rsidR="00A90945">
        <w:rPr>
          <w:rFonts w:eastAsia="Times New Roman" w:cs="Times New Roman"/>
          <w:szCs w:val="24"/>
        </w:rPr>
        <w:tab/>
      </w:r>
      <w:r w:rsidR="00D72F99">
        <w:rPr>
          <w:rFonts w:eastAsia="Times New Roman" w:cs="Times New Roman"/>
          <w:szCs w:val="24"/>
        </w:rPr>
        <w:tab/>
        <w:t xml:space="preserve">   </w:t>
      </w:r>
      <w:r w:rsidRPr="008E3F65">
        <w:rPr>
          <w:rFonts w:eastAsia="Times New Roman" w:cs="Times New Roman"/>
          <w:szCs w:val="24"/>
        </w:rPr>
        <w:t>Māris Kučinskis</w:t>
      </w:r>
    </w:p>
    <w:p w:rsidR="007C756F" w:rsidRPr="008E3F65" w:rsidP="00B42383" w14:paraId="1199DABA" w14:textId="77777777">
      <w:pPr>
        <w:spacing w:before="0" w:after="0"/>
        <w:rPr>
          <w:rFonts w:eastAsia="Times New Roman" w:cs="Times New Roman"/>
          <w:szCs w:val="24"/>
        </w:rPr>
      </w:pPr>
    </w:p>
    <w:p w:rsidR="007C756F" w:rsidRPr="008E3F65" w:rsidP="00B42383" w14:paraId="5668D348" w14:textId="77777777">
      <w:pPr>
        <w:spacing w:before="0" w:after="0"/>
        <w:rPr>
          <w:rFonts w:eastAsia="Times New Roman" w:cs="Times New Roman"/>
          <w:szCs w:val="24"/>
        </w:rPr>
      </w:pPr>
    </w:p>
    <w:p w:rsidR="007C756F" w:rsidRPr="008E3F65" w:rsidP="00B42383" w14:paraId="0E7E5676" w14:textId="33CF35CF">
      <w:pPr>
        <w:spacing w:before="0" w:after="0"/>
        <w:rPr>
          <w:rFonts w:eastAsia="Times New Roman" w:cs="Times New Roman"/>
          <w:szCs w:val="24"/>
        </w:rPr>
      </w:pPr>
      <w:r w:rsidRPr="008E3F65">
        <w:rPr>
          <w:rFonts w:eastAsia="Times New Roman" w:cs="Times New Roman"/>
          <w:szCs w:val="24"/>
        </w:rPr>
        <w:t>Izglītības un zinātnes ministrs</w:t>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Pr="008E3F65">
        <w:rPr>
          <w:rFonts w:eastAsia="Times New Roman" w:cs="Times New Roman"/>
          <w:szCs w:val="24"/>
        </w:rPr>
        <w:tab/>
      </w:r>
      <w:r w:rsidR="00D72F99">
        <w:rPr>
          <w:rFonts w:eastAsia="Times New Roman" w:cs="Times New Roman"/>
          <w:szCs w:val="24"/>
        </w:rPr>
        <w:tab/>
      </w:r>
      <w:r w:rsidR="00D72F99">
        <w:rPr>
          <w:rFonts w:eastAsia="Times New Roman" w:cs="Times New Roman"/>
          <w:szCs w:val="24"/>
        </w:rPr>
        <w:tab/>
        <w:t xml:space="preserve">   </w:t>
      </w:r>
      <w:r w:rsidRPr="008E3F65">
        <w:rPr>
          <w:rFonts w:eastAsia="Times New Roman" w:cs="Times New Roman"/>
          <w:szCs w:val="24"/>
        </w:rPr>
        <w:t>Kārlis Šadurskis</w:t>
      </w:r>
    </w:p>
    <w:p w:rsidR="007C756F" w:rsidRPr="008E3F65" w:rsidP="00B42383" w14:paraId="1FC7B686" w14:textId="77777777">
      <w:pPr>
        <w:spacing w:before="0" w:after="0"/>
        <w:rPr>
          <w:rFonts w:eastAsia="Times New Roman" w:cs="Times New Roman"/>
          <w:szCs w:val="24"/>
        </w:rPr>
      </w:pPr>
    </w:p>
    <w:p w:rsidR="007C756F" w:rsidRPr="008E3F65" w:rsidP="00B42383" w14:paraId="4BB1FB5C" w14:textId="77777777">
      <w:pPr>
        <w:spacing w:before="0" w:after="0"/>
        <w:rPr>
          <w:rFonts w:eastAsia="Times New Roman" w:cs="Times New Roman"/>
          <w:szCs w:val="24"/>
        </w:rPr>
      </w:pPr>
    </w:p>
    <w:p w:rsidR="007C756F" w:rsidRPr="008E3F65" w:rsidP="00B42383" w14:paraId="0604D99C" w14:textId="77777777">
      <w:pPr>
        <w:spacing w:before="0" w:after="0"/>
        <w:rPr>
          <w:rFonts w:eastAsia="PMingLiU" w:cs="Times New Roman"/>
          <w:szCs w:val="24"/>
        </w:rPr>
      </w:pPr>
      <w:r w:rsidRPr="008E3F65">
        <w:rPr>
          <w:rFonts w:eastAsia="Times New Roman" w:cs="Times New Roman"/>
          <w:szCs w:val="24"/>
        </w:rPr>
        <w:t>Iesniedzējs</w:t>
      </w:r>
      <w:r w:rsidRPr="008E3F65">
        <w:rPr>
          <w:rFonts w:cs="Times New Roman"/>
          <w:szCs w:val="24"/>
        </w:rPr>
        <w:t>:</w:t>
      </w:r>
    </w:p>
    <w:p w:rsidR="007C756F" w:rsidRPr="008E3F65" w:rsidP="00B42383" w14:paraId="04CAA3C5" w14:textId="3CDB16BA">
      <w:pPr>
        <w:spacing w:before="0" w:after="0"/>
        <w:rPr>
          <w:rFonts w:eastAsia="Times New Roman" w:cs="Times New Roman"/>
          <w:szCs w:val="24"/>
        </w:rPr>
      </w:pPr>
      <w:r w:rsidRPr="008E3F65">
        <w:rPr>
          <w:rFonts w:cs="Times New Roman"/>
          <w:szCs w:val="24"/>
        </w:rPr>
        <w:t>Izglītības un zinātnes ministrs</w:t>
      </w:r>
      <w:r w:rsidRPr="008E3F65">
        <w:rPr>
          <w:rFonts w:cs="Times New Roman"/>
          <w:szCs w:val="24"/>
        </w:rPr>
        <w:tab/>
      </w:r>
      <w:r w:rsidRPr="008E3F65">
        <w:rPr>
          <w:rFonts w:cs="Times New Roman"/>
          <w:szCs w:val="24"/>
        </w:rPr>
        <w:tab/>
      </w:r>
      <w:r w:rsidRPr="008E3F65">
        <w:rPr>
          <w:rFonts w:cs="Times New Roman"/>
          <w:szCs w:val="24"/>
        </w:rPr>
        <w:tab/>
      </w:r>
      <w:r w:rsidRPr="008E3F65">
        <w:rPr>
          <w:rFonts w:cs="Times New Roman"/>
          <w:szCs w:val="24"/>
        </w:rPr>
        <w:tab/>
      </w:r>
      <w:r w:rsidRPr="008E3F65">
        <w:rPr>
          <w:rFonts w:cs="Times New Roman"/>
          <w:szCs w:val="24"/>
        </w:rPr>
        <w:tab/>
      </w:r>
      <w:r w:rsidR="00D72F99">
        <w:rPr>
          <w:rFonts w:cs="Times New Roman"/>
          <w:szCs w:val="24"/>
        </w:rPr>
        <w:tab/>
      </w:r>
      <w:r w:rsidR="00D72F99">
        <w:rPr>
          <w:rFonts w:cs="Times New Roman"/>
          <w:szCs w:val="24"/>
        </w:rPr>
        <w:tab/>
        <w:t xml:space="preserve">   </w:t>
      </w:r>
      <w:r w:rsidRPr="008E3F65">
        <w:rPr>
          <w:rFonts w:cs="Times New Roman"/>
          <w:szCs w:val="24"/>
        </w:rPr>
        <w:t>Kārlis Šadurskis</w:t>
      </w:r>
    </w:p>
    <w:p w:rsidR="007C756F" w:rsidP="00B42383" w14:paraId="6CF962C8" w14:textId="77777777">
      <w:pPr>
        <w:spacing w:before="0" w:after="0"/>
        <w:rPr>
          <w:rFonts w:eastAsia="Times New Roman" w:cs="Times New Roman"/>
          <w:szCs w:val="24"/>
        </w:rPr>
      </w:pPr>
    </w:p>
    <w:p w:rsidR="00223E08" w:rsidRPr="008E3F65" w:rsidP="00B42383" w14:paraId="029932D9" w14:textId="77777777">
      <w:pPr>
        <w:spacing w:before="0" w:after="0"/>
        <w:rPr>
          <w:rFonts w:eastAsia="Times New Roman" w:cs="Times New Roman"/>
          <w:szCs w:val="24"/>
        </w:rPr>
      </w:pPr>
    </w:p>
    <w:p w:rsidR="00C200CB" w:rsidRPr="00C200CB" w:rsidP="00C200CB" w14:paraId="47D4BBCB" w14:textId="77777777">
      <w:pPr>
        <w:spacing w:before="0" w:after="0"/>
        <w:rPr>
          <w:rFonts w:eastAsia="Times New Roman" w:cs="Times New Roman"/>
          <w:szCs w:val="24"/>
        </w:rPr>
      </w:pPr>
      <w:r w:rsidRPr="00C200CB">
        <w:rPr>
          <w:rFonts w:eastAsia="Times New Roman" w:cs="Times New Roman"/>
          <w:szCs w:val="24"/>
        </w:rPr>
        <w:t xml:space="preserve">Vīzē: </w:t>
      </w:r>
    </w:p>
    <w:p w:rsidR="00C200CB" w:rsidRPr="00C200CB" w:rsidP="00C200CB" w14:paraId="4735327D" w14:textId="77777777">
      <w:pPr>
        <w:spacing w:before="0" w:after="0"/>
        <w:rPr>
          <w:rFonts w:eastAsia="Times New Roman" w:cs="Times New Roman"/>
          <w:szCs w:val="24"/>
        </w:rPr>
      </w:pPr>
      <w:r w:rsidRPr="00C200CB">
        <w:rPr>
          <w:rFonts w:eastAsia="Times New Roman" w:cs="Times New Roman"/>
          <w:szCs w:val="24"/>
        </w:rPr>
        <w:t xml:space="preserve">Valsts sekretāra vietniece – </w:t>
      </w:r>
    </w:p>
    <w:p w:rsidR="00C200CB" w:rsidRPr="00C200CB" w:rsidP="00C200CB" w14:paraId="5EDEB3C9" w14:textId="77777777">
      <w:pPr>
        <w:spacing w:before="0" w:after="0"/>
        <w:rPr>
          <w:rFonts w:eastAsia="Times New Roman" w:cs="Times New Roman"/>
          <w:szCs w:val="24"/>
        </w:rPr>
      </w:pPr>
      <w:r w:rsidRPr="00C200CB">
        <w:rPr>
          <w:rFonts w:eastAsia="Times New Roman" w:cs="Times New Roman"/>
          <w:szCs w:val="24"/>
        </w:rPr>
        <w:t>Struktūrfondu departamenta direktore,</w:t>
      </w:r>
    </w:p>
    <w:p w:rsidR="00C200CB" w:rsidRPr="00C200CB" w:rsidP="00C200CB" w14:paraId="20A3FFB6" w14:textId="4BFE5E0F">
      <w:pPr>
        <w:spacing w:before="0" w:after="0"/>
        <w:rPr>
          <w:rFonts w:eastAsia="Times New Roman" w:cs="Times New Roman"/>
          <w:szCs w:val="24"/>
        </w:rPr>
      </w:pPr>
      <w:r w:rsidRPr="00C200CB">
        <w:rPr>
          <w:rFonts w:eastAsia="Times New Roman" w:cs="Times New Roman"/>
          <w:szCs w:val="24"/>
        </w:rPr>
        <w:t>valsts sekretāra pienākumu izpildītāja</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C200CB">
        <w:rPr>
          <w:rFonts w:eastAsia="Times New Roman" w:cs="Times New Roman"/>
          <w:szCs w:val="24"/>
        </w:rPr>
        <w:t>                                   S.Šmīdlere</w:t>
      </w:r>
    </w:p>
    <w:p w:rsidR="007C756F" w:rsidRPr="008E3F65" w:rsidP="00B42383" w14:paraId="215D8A4D" w14:textId="3D141E21">
      <w:pPr>
        <w:spacing w:before="0" w:after="0"/>
        <w:rPr>
          <w:rFonts w:eastAsia="PMingLiU" w:cs="Times New Roman"/>
          <w:szCs w:val="24"/>
        </w:rPr>
      </w:pPr>
    </w:p>
    <w:p w:rsidR="00A73198" w:rsidP="00EC44C3" w14:paraId="1C8F6AEA" w14:textId="77777777">
      <w:pPr>
        <w:spacing w:after="0"/>
        <w:rPr>
          <w:rFonts w:eastAsia="Calibri" w:cs="Times New Roman"/>
        </w:rPr>
      </w:pPr>
    </w:p>
    <w:p w:rsidR="00EC44C3" w:rsidRPr="00F77DD2" w:rsidP="00C200CB" w14:paraId="45055CAA" w14:textId="52A959D7">
      <w:pPr>
        <w:spacing w:before="0" w:after="0"/>
        <w:jc w:val="left"/>
        <w:rPr>
          <w:sz w:val="18"/>
        </w:rPr>
      </w:pPr>
      <w:bookmarkStart w:id="165" w:name="_GoBack"/>
      <w:r w:rsidRPr="00F77DD2">
        <w:rPr>
          <w:sz w:val="18"/>
        </w:rPr>
        <w:fldChar w:fldCharType="begin"/>
      </w:r>
      <w:r w:rsidRPr="00531653">
        <w:rPr>
          <w:sz w:val="18"/>
        </w:rPr>
        <w:instrText xml:space="preserve"> DATE  \@ "dd.MM.yyyy H:mm"  \* MERGEFORMAT </w:instrText>
      </w:r>
      <w:r w:rsidRPr="00F77DD2">
        <w:rPr>
          <w:sz w:val="18"/>
        </w:rPr>
        <w:fldChar w:fldCharType="separate"/>
      </w:r>
      <w:r w:rsidR="00290893">
        <w:rPr>
          <w:noProof/>
          <w:sz w:val="18"/>
        </w:rPr>
        <w:t>08.02.2018 11:50</w:t>
      </w:r>
      <w:r w:rsidRPr="00F77DD2">
        <w:rPr>
          <w:sz w:val="18"/>
        </w:rPr>
        <w:fldChar w:fldCharType="end"/>
      </w:r>
    </w:p>
    <w:p w:rsidR="00A90945" w:rsidRPr="00F77DD2" w:rsidP="00C200CB" w14:paraId="79C0AE6F" w14:textId="5180875C">
      <w:pPr>
        <w:spacing w:before="0" w:after="0"/>
        <w:jc w:val="left"/>
        <w:rPr>
          <w:sz w:val="18"/>
        </w:rPr>
      </w:pPr>
      <w:r w:rsidRPr="00F77DD2">
        <w:rPr>
          <w:sz w:val="18"/>
        </w:rPr>
        <w:fldChar w:fldCharType="begin"/>
      </w:r>
      <w:r w:rsidRPr="00531653">
        <w:rPr>
          <w:sz w:val="18"/>
        </w:rPr>
        <w:instrText xml:space="preserve"> NUMWORDS   \* MERGEFORMAT </w:instrText>
      </w:r>
      <w:r w:rsidRPr="00F77DD2">
        <w:rPr>
          <w:sz w:val="18"/>
        </w:rPr>
        <w:fldChar w:fldCharType="separate"/>
      </w:r>
      <w:r w:rsidR="00290893">
        <w:rPr>
          <w:noProof/>
          <w:sz w:val="18"/>
        </w:rPr>
        <w:t>14291</w:t>
      </w:r>
      <w:r w:rsidRPr="00F77DD2">
        <w:rPr>
          <w:sz w:val="18"/>
        </w:rPr>
        <w:fldChar w:fldCharType="end"/>
      </w:r>
    </w:p>
    <w:p w:rsidR="009474EB" w:rsidRPr="00F77DD2" w:rsidP="00C200CB" w14:paraId="6FF0DFDE" w14:textId="77777777">
      <w:pPr>
        <w:spacing w:before="0" w:after="0"/>
        <w:jc w:val="left"/>
        <w:rPr>
          <w:sz w:val="18"/>
        </w:rPr>
      </w:pPr>
      <w:bookmarkEnd w:id="165"/>
      <w:r w:rsidRPr="00F77DD2">
        <w:rPr>
          <w:sz w:val="18"/>
        </w:rPr>
        <w:t>I.Švirksta</w:t>
      </w:r>
      <w:r w:rsidRPr="00F77DD2">
        <w:rPr>
          <w:sz w:val="18"/>
        </w:rPr>
        <w:t xml:space="preserve"> 67047882</w:t>
      </w:r>
    </w:p>
    <w:p w:rsidR="00196854" w:rsidRPr="00F77DD2" w:rsidP="00C200CB" w14:paraId="06C9381F" w14:textId="77777777">
      <w:pPr>
        <w:spacing w:before="0" w:after="0"/>
        <w:jc w:val="left"/>
        <w:rPr>
          <w:sz w:val="18"/>
        </w:rPr>
      </w:pPr>
      <w:r>
        <w:fldChar w:fldCharType="begin"/>
      </w:r>
      <w:r>
        <w:instrText xml:space="preserve"> HYPERLINK "mailto:inta.svirksta@izm.gov.lv" </w:instrText>
      </w:r>
      <w:r>
        <w:fldChar w:fldCharType="separate"/>
      </w:r>
      <w:r w:rsidRPr="00F77DD2" w:rsidR="00970533">
        <w:rPr>
          <w:sz w:val="18"/>
        </w:rPr>
        <w:t>inta.svirksta@izm.gov.lv</w:t>
      </w:r>
      <w:r>
        <w:fldChar w:fldCharType="end"/>
      </w:r>
    </w:p>
    <w:sectPr w:rsidSect="00242B92">
      <w:headerReference w:type="default" r:id="rId43"/>
      <w:footerReference w:type="even" r:id="rId44"/>
      <w:footerReference w:type="default" r:id="rId45"/>
      <w:footerReference w:type="first" r:id="rId46"/>
      <w:pgSz w:w="11906" w:h="16838" w:code="9"/>
      <w:pgMar w:top="992" w:right="907" w:bottom="1418" w:left="1304" w:header="425" w:footer="19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C92" w:rsidP="000176C1" w14:paraId="22DF82C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b w:val="0"/>
        <w:color w:val="auto"/>
        <w:sz w:val="24"/>
        <w:szCs w:val="22"/>
      </w:rPr>
      <w:id w:val="215216721"/>
      <w:docPartObj>
        <w:docPartGallery w:val="Page Numbers (Bottom of Page)"/>
        <w:docPartUnique/>
      </w:docPartObj>
    </w:sdtPr>
    <w:sdtEndPr>
      <w:rPr>
        <w:noProof/>
        <w:sz w:val="20"/>
        <w:szCs w:val="21"/>
      </w:rPr>
    </w:sdtEndPr>
    <w:sdtContent>
      <w:sdt>
        <w:sdtPr>
          <w:rPr>
            <w:rFonts w:ascii="Times New Roman" w:hAnsi="Times New Roman"/>
            <w:b w:val="0"/>
            <w:color w:val="auto"/>
            <w:sz w:val="20"/>
            <w:szCs w:val="21"/>
          </w:rPr>
          <w:id w:val="1131405153"/>
          <w:docPartObj>
            <w:docPartGallery w:val="Page Numbers (Bottom of Page)"/>
            <w:docPartUnique/>
          </w:docPartObj>
        </w:sdtPr>
        <w:sdtEndPr>
          <w:rPr>
            <w:rFonts w:ascii="Candara" w:hAnsi="Candara"/>
            <w:noProof/>
            <w:sz w:val="18"/>
            <w:szCs w:val="18"/>
          </w:rPr>
        </w:sdtEndPr>
        <w:sdtContent>
          <w:p w:rsidR="00016C92" w:rsidRPr="000278DF" w:rsidP="001D4D5A" w14:paraId="23C796D6" w14:textId="77777777">
            <w:pPr>
              <w:pStyle w:val="Header"/>
            </w:pPr>
            <w:r>
              <w:fldChar w:fldCharType="begin"/>
            </w:r>
            <w:r>
              <w:instrText xml:space="preserve"> FILENAME   \* MERGEFORMAT </w:instrText>
            </w:r>
            <w:r>
              <w:fldChar w:fldCharType="separate"/>
            </w:r>
            <w:r>
              <w:rPr>
                <w:noProof/>
              </w:rPr>
              <w:fldChar w:fldCharType="end"/>
            </w:r>
            <w:r w:rsidRPr="000278DF">
              <w:t>;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p>
          <w:p w:rsidR="00016C92" w:rsidP="00CD0BC9" w14:paraId="3AF265FC" w14:textId="2FA17522">
            <w:pPr>
              <w:pStyle w:val="Footer"/>
            </w:pPr>
          </w:p>
        </w:sdtContent>
      </w:sdt>
      <w:p w:rsidR="00016C92" w:rsidRPr="00DF2882" w:rsidP="000176C1" w14:paraId="003F5103" w14:textId="7D977AF6">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2564088"/>
      <w:docPartObj>
        <w:docPartGallery w:val="Page Numbers (Bottom of Page)"/>
        <w:docPartUnique/>
      </w:docPartObj>
    </w:sdtPr>
    <w:sdtEndPr>
      <w:rPr>
        <w:noProof/>
      </w:rPr>
    </w:sdtEndPr>
    <w:sdtContent>
      <w:p w:rsidR="00016C92" w14:paraId="5CF1AB0B" w14:textId="38F83A0D">
        <w:pPr>
          <w:pStyle w:val="Footer"/>
          <w:jc w:val="center"/>
        </w:pPr>
      </w:p>
    </w:sdtContent>
  </w:sdt>
  <w:p w:rsidR="00016C92" w14:paraId="7FAF20F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C92" w:rsidP="000176C1" w14:paraId="7E0C7BB9"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3535789"/>
      <w:docPartObj>
        <w:docPartGallery w:val="Page Numbers (Bottom of Page)"/>
        <w:docPartUnique/>
      </w:docPartObj>
    </w:sdtPr>
    <w:sdtEndPr>
      <w:rPr>
        <w:rStyle w:val="FooterChar"/>
        <w:rFonts w:ascii="Times New Roman" w:hAnsi="Times New Roman"/>
        <w:b w:val="0"/>
        <w:color w:val="auto"/>
        <w:sz w:val="20"/>
      </w:rPr>
    </w:sdtEndPr>
    <w:sdtContent>
      <w:sdt>
        <w:sdtPr>
          <w:rPr>
            <w:rFonts w:ascii="Times New Roman" w:hAnsi="Times New Roman"/>
            <w:sz w:val="20"/>
          </w:rPr>
          <w:id w:val="1984855395"/>
          <w:docPartObj>
            <w:docPartGallery w:val="Page Numbers (Bottom of Page)"/>
            <w:docPartUnique/>
          </w:docPartObj>
        </w:sdtPr>
        <w:sdtEndPr>
          <w:rPr>
            <w:rStyle w:val="FooterChar"/>
            <w:b w:val="0"/>
            <w:color w:val="auto"/>
          </w:rPr>
        </w:sdtEndPr>
        <w:sdtContent>
          <w:p w:rsidR="00016C92" w:rsidRPr="000934CC" w:rsidP="001D4D5A" w14:paraId="7938679C" w14:textId="1009C093">
            <w:pPr>
              <w:pStyle w:val="Header"/>
              <w:rPr>
                <w:rStyle w:val="FooterChar"/>
                <w:b w:val="0"/>
                <w:noProof/>
                <w:color w:val="auto"/>
                <w:sz w:val="16"/>
              </w:rPr>
            </w:pPr>
            <w:sdt>
              <w:sdtPr>
                <w:rPr>
                  <w:rFonts w:ascii="Times New Roman" w:hAnsi="Times New Roman"/>
                  <w:sz w:val="20"/>
                </w:rPr>
                <w:id w:val="1025103629"/>
                <w:docPartObj>
                  <w:docPartGallery w:val="Page Numbers (Bottom of Page)"/>
                  <w:docPartUnique/>
                </w:docPartObj>
              </w:sdtPr>
              <w:sdtEndPr>
                <w:rPr>
                  <w:rStyle w:val="FooterChar"/>
                  <w:b w:val="0"/>
                  <w:color w:val="auto"/>
                </w:rPr>
              </w:sdtEndPr>
              <w:sdtContent>
                <w:r w:rsidRPr="000934CC">
                  <w:rPr>
                    <w:rStyle w:val="FooterChar"/>
                    <w:b w:val="0"/>
                    <w:noProof/>
                    <w:color w:val="auto"/>
                    <w:sz w:val="16"/>
                  </w:rPr>
                  <w:fldChar w:fldCharType="begin"/>
                </w:r>
                <w:r w:rsidRPr="000934CC">
                  <w:rPr>
                    <w:rStyle w:val="FooterChar"/>
                    <w:b w:val="0"/>
                    <w:noProof/>
                    <w:color w:val="auto"/>
                    <w:sz w:val="16"/>
                  </w:rPr>
                  <w:instrText xml:space="preserve"> FILENAME   \* MERGEFORMAT </w:instrText>
                </w:r>
                <w:r w:rsidRPr="000934CC">
                  <w:rPr>
                    <w:rStyle w:val="FooterChar"/>
                    <w:b w:val="0"/>
                    <w:noProof/>
                    <w:color w:val="auto"/>
                    <w:sz w:val="16"/>
                  </w:rPr>
                  <w:fldChar w:fldCharType="separate"/>
                </w:r>
                <w:r w:rsidRPr="000934CC">
                  <w:rPr>
                    <w:rStyle w:val="FooterChar"/>
                    <w:b w:val="0"/>
                    <w:noProof/>
                    <w:color w:val="auto"/>
                    <w:sz w:val="16"/>
                  </w:rPr>
                  <w:fldChar w:fldCharType="end"/>
                </w:r>
                <w:r w:rsidRPr="000934CC">
                  <w:rPr>
                    <w:rStyle w:val="FooterChar"/>
                    <w:b w:val="0"/>
                    <w:noProof/>
                    <w:color w:val="auto"/>
                    <w:sz w:val="16"/>
                  </w:rPr>
                  <w:t>;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0187703"/>
      <w:docPartObj>
        <w:docPartGallery w:val="Page Numbers (Bottom of Page)"/>
        <w:docPartUnique/>
      </w:docPartObj>
    </w:sdtPr>
    <w:sdtEndPr>
      <w:rPr>
        <w:rStyle w:val="FooterChar"/>
        <w:rFonts w:ascii="Times New Roman" w:hAnsi="Times New Roman"/>
        <w:b w:val="0"/>
        <w:color w:val="auto"/>
        <w:sz w:val="20"/>
      </w:rPr>
    </w:sdtEndPr>
    <w:sdtContent>
      <w:sdt>
        <w:sdtPr>
          <w:rPr>
            <w:rFonts w:ascii="Times New Roman" w:hAnsi="Times New Roman"/>
            <w:sz w:val="20"/>
          </w:rPr>
          <w:id w:val="2039407563"/>
          <w:docPartObj>
            <w:docPartGallery w:val="Page Numbers (Bottom of Page)"/>
            <w:docPartUnique/>
          </w:docPartObj>
        </w:sdtPr>
        <w:sdtEndPr>
          <w:rPr>
            <w:rStyle w:val="FooterChar"/>
            <w:b w:val="0"/>
            <w:color w:val="auto"/>
          </w:rPr>
        </w:sdtEndPr>
        <w:sdtContent>
          <w:p w:rsidR="00016C92" w:rsidRPr="000934CC" w:rsidP="001D4D5A" w14:paraId="04AEE818" w14:textId="1004A32A">
            <w:pPr>
              <w:pStyle w:val="Header"/>
              <w:rPr>
                <w:rStyle w:val="FooterChar"/>
                <w:b w:val="0"/>
                <w:noProof/>
                <w:color w:val="auto"/>
                <w:sz w:val="16"/>
              </w:rPr>
            </w:pPr>
            <w:r w:rsidRPr="000934CC">
              <w:rPr>
                <w:rStyle w:val="FooterChar"/>
                <w:b w:val="0"/>
                <w:noProof/>
                <w:color w:val="auto"/>
                <w:sz w:val="16"/>
              </w:rPr>
              <w:fldChar w:fldCharType="begin"/>
            </w:r>
            <w:r w:rsidRPr="000934CC">
              <w:rPr>
                <w:rStyle w:val="FooterChar"/>
                <w:b w:val="0"/>
                <w:noProof/>
                <w:color w:val="auto"/>
                <w:sz w:val="16"/>
              </w:rPr>
              <w:instrText xml:space="preserve"> FILENAME   \* MERGEFORMAT </w:instrText>
            </w:r>
            <w:r w:rsidRPr="000934CC">
              <w:rPr>
                <w:rStyle w:val="FooterChar"/>
                <w:b w:val="0"/>
                <w:noProof/>
                <w:color w:val="auto"/>
                <w:sz w:val="16"/>
              </w:rPr>
              <w:fldChar w:fldCharType="separate"/>
            </w:r>
            <w:r w:rsidRPr="000934CC">
              <w:rPr>
                <w:rStyle w:val="FooterChar"/>
                <w:b w:val="0"/>
                <w:noProof/>
                <w:color w:val="auto"/>
                <w:sz w:val="16"/>
              </w:rPr>
              <w:fldChar w:fldCharType="end"/>
            </w:r>
            <w:r w:rsidRPr="000934CC">
              <w:rPr>
                <w:rStyle w:val="FooterChar"/>
                <w:b w:val="0"/>
                <w:noProof/>
                <w:color w:val="auto"/>
                <w:sz w:val="16"/>
              </w:rPr>
              <w:t>;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C92" w:rsidP="000176C1" w14:paraId="4AD74E88" w14:textId="7777777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C92" w:rsidRPr="00725F0C" w:rsidP="001D4D5A" w14:paraId="4D6A9C9F" w14:textId="77777777">
    <w:pPr>
      <w:pStyle w:val="Header"/>
      <w:rPr>
        <w:rStyle w:val="FooterChar"/>
        <w:b w:val="0"/>
        <w:noProof/>
        <w:color w:val="auto"/>
        <w:sz w:val="16"/>
      </w:rPr>
    </w:pPr>
    <w:sdt>
      <w:sdtPr>
        <w:rPr>
          <w:rFonts w:ascii="Times New Roman" w:hAnsi="Times New Roman"/>
          <w:sz w:val="20"/>
        </w:rPr>
        <w:id w:val="727455505"/>
        <w:docPartObj>
          <w:docPartGallery w:val="Page Numbers (Bottom of Page)"/>
          <w:docPartUnique/>
        </w:docPartObj>
      </w:sdtPr>
      <w:sdtEndPr>
        <w:rPr>
          <w:rStyle w:val="FooterChar"/>
          <w:b w:val="0"/>
          <w:color w:val="auto"/>
        </w:rPr>
      </w:sdtEndPr>
      <w:sdtContent>
        <w:r w:rsidRPr="00725F0C">
          <w:rPr>
            <w:rStyle w:val="FooterChar"/>
            <w:b w:val="0"/>
            <w:noProof/>
            <w:color w:val="auto"/>
            <w:sz w:val="16"/>
          </w:rPr>
          <w:fldChar w:fldCharType="begin"/>
        </w:r>
        <w:r w:rsidRPr="00725F0C">
          <w:rPr>
            <w:rStyle w:val="FooterChar"/>
            <w:b w:val="0"/>
            <w:noProof/>
            <w:color w:val="auto"/>
            <w:sz w:val="16"/>
          </w:rPr>
          <w:instrText xml:space="preserve"> FILENAME   \* MERGEFORMAT </w:instrText>
        </w:r>
        <w:r w:rsidRPr="00725F0C">
          <w:rPr>
            <w:rStyle w:val="FooterChar"/>
            <w:b w:val="0"/>
            <w:noProof/>
            <w:color w:val="auto"/>
            <w:sz w:val="16"/>
          </w:rPr>
          <w:fldChar w:fldCharType="separate"/>
        </w:r>
        <w:r w:rsidRPr="00725F0C">
          <w:rPr>
            <w:rStyle w:val="FooterChar"/>
            <w:b w:val="0"/>
            <w:noProof/>
            <w:color w:val="auto"/>
            <w:sz w:val="16"/>
          </w:rPr>
          <w:fldChar w:fldCharType="end"/>
        </w:r>
        <w:r w:rsidRPr="00725F0C">
          <w:rPr>
            <w:rStyle w:val="FooterChar"/>
            <w:b w:val="0"/>
            <w:noProof/>
            <w:color w:val="auto"/>
            <w:sz w:val="16"/>
          </w:rPr>
          <w:t>;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C92" w:rsidRPr="001D4D5A" w:rsidP="001D4D5A" w14:paraId="4A16A55A" w14:textId="77777777">
    <w:pPr>
      <w:pStyle w:val="Header"/>
      <w:rPr>
        <w:rStyle w:val="FooterChar"/>
        <w:b w:val="0"/>
        <w:noProof/>
        <w:color w:val="auto"/>
        <w:sz w:val="18"/>
      </w:rPr>
    </w:pPr>
    <w:sdt>
      <w:sdtPr>
        <w:rPr>
          <w:rFonts w:ascii="Times New Roman" w:hAnsi="Times New Roman"/>
          <w:sz w:val="20"/>
        </w:rPr>
        <w:id w:val="1707990428"/>
        <w:docPartObj>
          <w:docPartGallery w:val="Page Numbers (Bottom of Page)"/>
          <w:docPartUnique/>
        </w:docPartObj>
      </w:sdtPr>
      <w:sdtEndPr>
        <w:rPr>
          <w:rStyle w:val="FooterChar"/>
          <w:b w:val="0"/>
          <w:color w:val="auto"/>
        </w:rPr>
      </w:sdtEndPr>
      <w:sdtContent>
        <w:r w:rsidRPr="001D4D5A">
          <w:rPr>
            <w:rStyle w:val="FooterChar"/>
            <w:b w:val="0"/>
            <w:noProof/>
            <w:color w:val="auto"/>
            <w:sz w:val="18"/>
          </w:rPr>
          <w:fldChar w:fldCharType="begin"/>
        </w:r>
        <w:r w:rsidRPr="001D4D5A">
          <w:rPr>
            <w:rStyle w:val="FooterChar"/>
            <w:b w:val="0"/>
            <w:noProof/>
            <w:color w:val="auto"/>
            <w:sz w:val="18"/>
          </w:rPr>
          <w:instrText xml:space="preserve"> FILENAME   \* MERGEFORMAT </w:instrText>
        </w:r>
        <w:r w:rsidRPr="001D4D5A">
          <w:rPr>
            <w:rStyle w:val="FooterChar"/>
            <w:b w:val="0"/>
            <w:noProof/>
            <w:color w:val="auto"/>
            <w:sz w:val="18"/>
          </w:rPr>
          <w:fldChar w:fldCharType="separate"/>
        </w:r>
        <w:r w:rsidRPr="001D4D5A">
          <w:rPr>
            <w:rStyle w:val="FooterChar"/>
            <w:b w:val="0"/>
            <w:noProof/>
            <w:color w:val="auto"/>
            <w:sz w:val="18"/>
          </w:rPr>
          <w:fldChar w:fldCharType="end"/>
        </w:r>
        <w:r w:rsidRPr="001D4D5A">
          <w:rPr>
            <w:rStyle w:val="FooterChar"/>
            <w:b w:val="0"/>
            <w:noProof/>
            <w:color w:val="auto"/>
            <w:sz w:val="18"/>
          </w:rPr>
          <w:t>;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1EC" w:rsidP="008714DB" w14:paraId="1A2E1275" w14:textId="77777777">
      <w:pPr>
        <w:spacing w:after="0"/>
      </w:pPr>
      <w:r>
        <w:separator/>
      </w:r>
    </w:p>
  </w:footnote>
  <w:footnote w:type="continuationSeparator" w:id="1">
    <w:p w:rsidR="00DF21EC" w:rsidP="008714DB" w14:paraId="71158379" w14:textId="77777777">
      <w:pPr>
        <w:spacing w:after="0"/>
      </w:pPr>
      <w:r>
        <w:continuationSeparator/>
      </w:r>
    </w:p>
  </w:footnote>
  <w:footnote w:type="continuationNotice" w:id="2">
    <w:p w:rsidR="00DF21EC" w14:paraId="7D092BA3" w14:textId="77777777">
      <w:pPr>
        <w:spacing w:before="0" w:after="0"/>
      </w:pPr>
    </w:p>
  </w:footnote>
  <w:footnote w:id="3">
    <w:p w:rsidR="00016C92" w:rsidP="007B544F" w14:paraId="7A532E82" w14:textId="77777777">
      <w:pPr>
        <w:pStyle w:val="FootnoteText"/>
      </w:pPr>
      <w:r>
        <w:rPr>
          <w:rStyle w:val="FootnoteReference"/>
        </w:rPr>
        <w:footnoteRef/>
      </w:r>
      <w:r>
        <w:t xml:space="preserve"> pētnieks šī dokumenta kontekstā ir persona, kas tieši veic pētniecību – vadošais pētnieks, pētnieks, zinātniskais asistents, zinātnes tehniskais personāls</w:t>
      </w:r>
    </w:p>
  </w:footnote>
  <w:footnote w:id="4">
    <w:p w:rsidR="00016C92" w:rsidP="00D31948" w14:paraId="477B4F57" w14:textId="77777777">
      <w:pPr>
        <w:pStyle w:val="FootnoteText"/>
        <w:spacing w:before="0"/>
        <w:rPr>
          <w:sz w:val="18"/>
          <w:szCs w:val="18"/>
        </w:rPr>
      </w:pPr>
      <w:r w:rsidRPr="00F77DD2">
        <w:rPr>
          <w:rStyle w:val="FootnoteReference"/>
          <w:sz w:val="18"/>
        </w:rPr>
        <w:footnoteRef/>
      </w:r>
      <w:r w:rsidRPr="00124CD6">
        <w:rPr>
          <w:sz w:val="18"/>
          <w:szCs w:val="18"/>
        </w:rPr>
        <w:t>Pieejams tīmekļa vietnē</w:t>
      </w:r>
      <w:r>
        <w:rPr>
          <w:sz w:val="18"/>
          <w:szCs w:val="18"/>
        </w:rPr>
        <w:t xml:space="preserve">: </w:t>
      </w:r>
    </w:p>
    <w:p w:rsidR="00016C92" w:rsidRPr="00F77DD2" w:rsidP="00D31948" w14:paraId="609F9B77" w14:textId="77777777">
      <w:pPr>
        <w:pStyle w:val="FootnoteText"/>
        <w:spacing w:before="0"/>
        <w:rPr>
          <w:sz w:val="16"/>
        </w:rPr>
      </w:pPr>
      <w:r w:rsidRPr="00F77DD2">
        <w:rPr>
          <w:sz w:val="16"/>
        </w:rPr>
        <w:t>http://www.cfla.gov.lv/userfiles/files/Informativais%20materials%20par%20MVU%20un%20GNU%20statusa%20noteiksanu.pdf</w:t>
      </w:r>
    </w:p>
  </w:footnote>
  <w:footnote w:id="5">
    <w:p w:rsidR="00016C92" w:rsidRPr="00124CD6" w:rsidP="00D31948" w14:paraId="661BFC6B" w14:textId="77777777">
      <w:pPr>
        <w:pStyle w:val="FootnoteText"/>
        <w:spacing w:before="0"/>
        <w:rPr>
          <w:sz w:val="18"/>
          <w:szCs w:val="18"/>
        </w:rPr>
      </w:pPr>
      <w:r w:rsidRPr="00124CD6">
        <w:rPr>
          <w:rStyle w:val="FootnoteReference"/>
          <w:sz w:val="18"/>
          <w:szCs w:val="18"/>
        </w:rPr>
        <w:footnoteRef/>
      </w:r>
      <w:r w:rsidRPr="00124CD6">
        <w:rPr>
          <w:rStyle w:val="FootnoteReference"/>
          <w:sz w:val="18"/>
          <w:szCs w:val="18"/>
        </w:rPr>
        <w:t xml:space="preserve"> </w:t>
      </w:r>
      <w:r w:rsidRPr="00124CD6">
        <w:rPr>
          <w:sz w:val="18"/>
          <w:szCs w:val="18"/>
        </w:rPr>
        <w:t>Pētniecības pieteikumā iekļautās pasākuma kopējās attiecināmās izmaksas, plānotās atbalstāmās darbības un izmaksu pozīcijas atbilst SAM MK noteikumos noteiktajām, t.sk. nepārsniedz noteikto izmaksu pozīciju apjomus un ir saistītas ar pētniecības pieteikuma īstenošanu; nepieciešamas pētniecības pieteikuma iesniedzējam īstenošanai (pētniecības pieteikuma iesniedzējam norādīto darbību īstenošanai, zinātniskā mērķa grupas vajadzību nodrošināšanai, definētās problēmas risināšanai); nodrošina pētniecības pieteikuma iesniedzējam izvirzītā mērķa un rādītāju sasniegšanu</w:t>
      </w:r>
    </w:p>
  </w:footnote>
  <w:footnote w:id="6">
    <w:p w:rsidR="00016C92" w:rsidRPr="00124CD6" w:rsidP="00923B54" w14:paraId="5AAF8D0E" w14:textId="77777777">
      <w:pPr>
        <w:pStyle w:val="FootnoteText"/>
        <w:rPr>
          <w:sz w:val="18"/>
          <w:szCs w:val="18"/>
        </w:rPr>
      </w:pPr>
      <w:r w:rsidRPr="00124CD6">
        <w:rPr>
          <w:rStyle w:val="FootnoteReference"/>
          <w:sz w:val="18"/>
          <w:szCs w:val="18"/>
        </w:rPr>
        <w:footnoteRef/>
      </w:r>
      <w:r w:rsidRPr="00124CD6">
        <w:rPr>
          <w:rStyle w:val="FootnoteReference"/>
          <w:sz w:val="18"/>
          <w:szCs w:val="18"/>
        </w:rPr>
        <w:t xml:space="preserve"> </w:t>
      </w:r>
      <w:r w:rsidRPr="00124CD6">
        <w:rPr>
          <w:rStyle w:val="FootnoteReference"/>
          <w:sz w:val="18"/>
          <w:szCs w:val="18"/>
          <w:vertAlign w:val="baseline"/>
        </w:rPr>
        <w:t>Pētniecības pieteikumā plānotie sagaidāmie rezultāti un uzraudzības rādītāji: ir precīzi definēti; pamatoti; izmērāmi; sekmē SAM MK noteikumos noteikto iznākuma rādītāju sasniegšanu</w:t>
      </w:r>
    </w:p>
  </w:footnote>
  <w:footnote w:id="7">
    <w:p w:rsidR="00016C92" w:rsidRPr="00D31948" w:rsidP="008F1F90" w14:paraId="1BC3396A" w14:textId="77777777">
      <w:pPr>
        <w:pStyle w:val="FootnoteText"/>
      </w:pPr>
      <w:r w:rsidRPr="00D31948">
        <w:rPr>
          <w:rStyle w:val="FootnoteReference"/>
          <w:sz w:val="18"/>
          <w:szCs w:val="18"/>
        </w:rPr>
        <w:footnoteRef/>
      </w:r>
      <w:r w:rsidRPr="00D31948">
        <w:rPr>
          <w:sz w:val="18"/>
          <w:szCs w:val="18"/>
        </w:rPr>
        <w:t xml:space="preserve"> Nosūtīti lēmumi par pētniecības projektu apstiprināšanu vai apstiprināšanu ar nosacījumu, līgum</w:t>
      </w:r>
      <w:r>
        <w:rPr>
          <w:sz w:val="18"/>
          <w:szCs w:val="18"/>
        </w:rPr>
        <w:t>u slēgšana</w:t>
      </w:r>
      <w:r w:rsidRPr="00D31948">
        <w:rPr>
          <w:sz w:val="18"/>
          <w:szCs w:val="18"/>
        </w:rPr>
        <w:t xml:space="preserve"> par projektu īstenošanu </w:t>
      </w:r>
      <w:r>
        <w:rPr>
          <w:sz w:val="18"/>
          <w:szCs w:val="18"/>
        </w:rPr>
        <w:t>ir procesā</w:t>
      </w:r>
      <w:r w:rsidRPr="00D31948">
        <w:rPr>
          <w:sz w:val="18"/>
          <w:szCs w:val="18"/>
        </w:rPr>
        <w:t>, tādēļ pašreizējā informācija ir indikatīva un var mainīties pēc līgumu noslēgšanas</w:t>
      </w:r>
      <w:r w:rsidRPr="00D31948">
        <w:t xml:space="preserve">.  </w:t>
      </w:r>
    </w:p>
  </w:footnote>
  <w:footnote w:id="8">
    <w:p w:rsidR="00016C92" w:rsidRPr="00346C99" w:rsidP="00D137A2" w14:paraId="2B7E5D7E" w14:textId="77777777">
      <w:pPr>
        <w:pStyle w:val="Caption"/>
        <w:rPr>
          <w:rFonts w:cs="Times New Roman"/>
          <w:sz w:val="18"/>
          <w:szCs w:val="18"/>
        </w:rPr>
      </w:pPr>
      <w:r w:rsidRPr="00346C99">
        <w:rPr>
          <w:rStyle w:val="FootnoteReference"/>
          <w:rFonts w:cs="Times New Roman"/>
          <w:sz w:val="18"/>
          <w:szCs w:val="18"/>
        </w:rPr>
        <w:footnoteRef/>
      </w:r>
      <w:r w:rsidRPr="00346C99">
        <w:rPr>
          <w:rFonts w:cs="Times New Roman"/>
          <w:sz w:val="18"/>
          <w:szCs w:val="18"/>
        </w:rPr>
        <w:t xml:space="preserve"> </w:t>
      </w:r>
      <w:r w:rsidRPr="00346C99">
        <w:rPr>
          <w:rStyle w:val="FootnoteReference"/>
          <w:rFonts w:cs="Times New Roman"/>
          <w:b w:val="0"/>
          <w:sz w:val="18"/>
          <w:szCs w:val="18"/>
          <w:vertAlign w:val="baseline"/>
        </w:rPr>
        <w:t>informācijas avots: https://kpvis.esfondi.lv/LV/AtskaiteVeiktieMaksajumiErafKf/Atskaite</w:t>
      </w:r>
    </w:p>
  </w:footnote>
  <w:footnote w:id="9">
    <w:p w:rsidR="00016C92" w:rsidRPr="00B86F69" w:rsidP="002825D3" w14:paraId="29D57747" w14:textId="77777777">
      <w:pPr>
        <w:pStyle w:val="FootnoteText"/>
        <w:rPr>
          <w:rFonts w:ascii="Candara" w:hAnsi="Candara"/>
          <w:sz w:val="16"/>
          <w:szCs w:val="16"/>
        </w:rPr>
      </w:pPr>
      <w:r w:rsidRPr="00346C99">
        <w:rPr>
          <w:rStyle w:val="FootnoteReference"/>
          <w:sz w:val="18"/>
          <w:szCs w:val="18"/>
        </w:rPr>
        <w:footnoteRef/>
      </w:r>
      <w:r w:rsidRPr="00346C99">
        <w:rPr>
          <w:sz w:val="18"/>
          <w:szCs w:val="18"/>
        </w:rPr>
        <w:t xml:space="preserve"> Pamatā sociālo un humanitāro zinātņu nozarēs īstenoti pētījumi.</w:t>
      </w:r>
    </w:p>
  </w:footnote>
  <w:footnote w:id="10">
    <w:p w:rsidR="00016C92" w:rsidRPr="00C05082" w:rsidP="00A05743" w14:paraId="7D4DA3B9" w14:textId="77777777">
      <w:pPr>
        <w:autoSpaceDE w:val="0"/>
        <w:autoSpaceDN w:val="0"/>
        <w:adjustRightInd w:val="0"/>
        <w:spacing w:after="0"/>
        <w:rPr>
          <w:sz w:val="18"/>
          <w:szCs w:val="18"/>
        </w:rPr>
      </w:pPr>
      <w:r w:rsidRPr="00C05082">
        <w:rPr>
          <w:rStyle w:val="FootnoteReference"/>
          <w:sz w:val="18"/>
          <w:szCs w:val="18"/>
        </w:rPr>
        <w:footnoteRef/>
      </w:r>
      <w:r w:rsidRPr="00C05082">
        <w:rPr>
          <w:sz w:val="18"/>
          <w:szCs w:val="18"/>
        </w:rPr>
        <w:t xml:space="preserve"> </w:t>
      </w:r>
      <w:r w:rsidRPr="00C05082">
        <w:rPr>
          <w:rFonts w:cs="Times New Roman"/>
          <w:sz w:val="18"/>
          <w:szCs w:val="18"/>
        </w:rPr>
        <w:t xml:space="preserve">Informācijas avots: </w:t>
      </w:r>
      <w:r w:rsidRPr="00C05082">
        <w:rPr>
          <w:rFonts w:cs="Times New Roman"/>
          <w:bCs/>
          <w:sz w:val="18"/>
          <w:szCs w:val="18"/>
        </w:rPr>
        <w:t>The Measurement of Scientific, Technological and Innovation Activities. Frascati Manual. Guidelines for Collect ing and Reporting Data on Research and Experimental Development 2015. pieejams: https://www.maltaenterprise.com/sites/default/files/Frascati%20Manual%202015.pdf</w:t>
      </w:r>
    </w:p>
  </w:footnote>
  <w:footnote w:id="11">
    <w:p w:rsidR="00016C92" w:rsidRPr="004005FA" w:rsidP="00207B3D" w14:paraId="599A2B35" w14:textId="1066B3C0">
      <w:pPr>
        <w:pStyle w:val="FootnoteText"/>
        <w:rPr>
          <w:rFonts w:eastAsiaTheme="minorEastAsia"/>
          <w:sz w:val="16"/>
          <w:szCs w:val="16"/>
        </w:rPr>
      </w:pPr>
      <w:r w:rsidRPr="00C05082">
        <w:rPr>
          <w:rStyle w:val="FootnoteReference"/>
          <w:sz w:val="18"/>
          <w:szCs w:val="18"/>
        </w:rPr>
        <w:footnoteRef/>
      </w:r>
      <w:r w:rsidRPr="00C05082">
        <w:rPr>
          <w:sz w:val="18"/>
          <w:szCs w:val="18"/>
        </w:rPr>
        <w:t xml:space="preserve"> </w:t>
      </w:r>
      <w:r>
        <w:rPr>
          <w:sz w:val="18"/>
          <w:szCs w:val="18"/>
        </w:rPr>
        <w:t>Uz 31.12.2018. norādītie d</w:t>
      </w:r>
      <w:r>
        <w:rPr>
          <w:rFonts w:eastAsiaTheme="minorEastAsia"/>
          <w:sz w:val="18"/>
          <w:szCs w:val="18"/>
        </w:rPr>
        <w:t xml:space="preserve">ati par uzņemtajām indikatīvajām saistībām noslēgto līgumu ietvaros attiecībā uz Pēcdoktorantūras pētniecības programmu ir indikatīvi, ņemot vērā, ka norisinās līgumu slēgšanas process un vērtības var mainīties. </w:t>
      </w:r>
    </w:p>
  </w:footnote>
  <w:footnote w:id="12">
    <w:p w:rsidR="00016C92" w14:paraId="268EF49B" w14:textId="37C40828">
      <w:pPr>
        <w:pStyle w:val="FootnoteText"/>
      </w:pPr>
      <w:r w:rsidRPr="00016A34">
        <w:rPr>
          <w:rStyle w:val="FootnoteReference"/>
          <w:sz w:val="18"/>
          <w:szCs w:val="18"/>
        </w:rPr>
        <w:footnoteRef/>
      </w:r>
      <w:r w:rsidRPr="00016A34">
        <w:rPr>
          <w:sz w:val="18"/>
          <w:szCs w:val="18"/>
        </w:rPr>
        <w:t xml:space="preserve"> </w:t>
      </w:r>
      <w:r w:rsidRPr="00C05082">
        <w:rPr>
          <w:sz w:val="18"/>
          <w:szCs w:val="18"/>
        </w:rPr>
        <w:t xml:space="preserve"> </w:t>
      </w:r>
      <w:r w:rsidRPr="00C05082">
        <w:rPr>
          <w:rFonts w:eastAsiaTheme="minorEastAsia"/>
          <w:sz w:val="18"/>
          <w:szCs w:val="18"/>
        </w:rPr>
        <w:t xml:space="preserve">Aktuālā vērtība –iznākuma rādītāja  sasniegtā vērtība, kas noteikta saskaņā ar apstiprinātajiem maksājuma pieprasījumiem un KPVIS datiem uz </w:t>
      </w:r>
      <w:r>
        <w:rPr>
          <w:rFonts w:eastAsiaTheme="minorEastAsia"/>
          <w:sz w:val="18"/>
          <w:szCs w:val="18"/>
        </w:rPr>
        <w:t>28.12.2017.</w:t>
      </w:r>
      <w:r w:rsidRPr="00C05082">
        <w:rPr>
          <w:rFonts w:eastAsiaTheme="minorEastAsia"/>
          <w:sz w:val="18"/>
          <w:szCs w:val="18"/>
        </w:rPr>
        <w:t>.</w:t>
      </w:r>
    </w:p>
  </w:footnote>
  <w:footnote w:id="13">
    <w:p w:rsidR="00016C92" w:rsidRPr="00A405AA" w:rsidP="00912B4C" w14:paraId="2E4DDE10" w14:textId="77777777">
      <w:pPr>
        <w:pStyle w:val="FootnoteText"/>
        <w:rPr>
          <w:sz w:val="18"/>
          <w:szCs w:val="18"/>
        </w:rPr>
      </w:pPr>
      <w:r w:rsidRPr="00A405AA">
        <w:rPr>
          <w:rStyle w:val="FootnoteReference"/>
          <w:sz w:val="18"/>
          <w:szCs w:val="18"/>
        </w:rPr>
        <w:footnoteRef/>
      </w:r>
      <w:r w:rsidRPr="00A405AA">
        <w:rPr>
          <w:sz w:val="18"/>
          <w:szCs w:val="18"/>
        </w:rPr>
        <w:t xml:space="preserve"> Pieejams tiešsaistē: http://ec.europa.eu/regional_policy/sources/docoffic/2014/working/wd_2014_en.pdf</w:t>
      </w:r>
    </w:p>
  </w:footnote>
  <w:footnote w:id="14">
    <w:p w:rsidR="00016C92" w:rsidRPr="00EC4B86" w:rsidP="00705A3F" w14:paraId="7C4CEAE5" w14:textId="77777777">
      <w:pPr>
        <w:pStyle w:val="FootnoteText"/>
        <w:rPr>
          <w:sz w:val="18"/>
          <w:szCs w:val="18"/>
        </w:rPr>
      </w:pPr>
      <w:r>
        <w:rPr>
          <w:rStyle w:val="FootnoteReference"/>
        </w:rPr>
        <w:footnoteRef/>
      </w:r>
      <w:r>
        <w:t xml:space="preserve"> Pieejams tīmekļa vietnē:  </w:t>
      </w:r>
      <w:r w:rsidRPr="00EC4B86">
        <w:rPr>
          <w:sz w:val="18"/>
          <w:szCs w:val="18"/>
        </w:rPr>
        <w:t>http://ec.europa.eu/research/participants/data/ref/h2020/other/wp/2016_2017/annexes/h2020-wp1617-annex-h-esacrit_en.pdf</w:t>
      </w:r>
    </w:p>
  </w:footnote>
  <w:footnote w:id="15">
    <w:p w:rsidR="00016C92" w14:paraId="4AA0712C" w14:textId="4649E5ED">
      <w:pPr>
        <w:pStyle w:val="FootnoteText"/>
      </w:pPr>
      <w:r>
        <w:rPr>
          <w:rStyle w:val="FootnoteReference"/>
        </w:rPr>
        <w:footnoteRef/>
      </w:r>
      <w:r>
        <w:t xml:space="preserve"> </w:t>
      </w:r>
      <w:r w:rsidRPr="00BA4AFF">
        <w:rPr>
          <w:sz w:val="18"/>
          <w:szCs w:val="18"/>
        </w:rPr>
        <w:t>Ieceļot neatkarīgus ekspertus, Komisija vai attiecīgā finansēšanas struktūra veic pienācīgus pasākumus, lai panāktu ekspertu grupu un izvērtēšanas komisiju līdzsvarotu sastāvu no dažādu prasmju, pieredzes, zināšanu, ģeogrāfiskās pārstāvības un dzimumu viedokļa, ņemot vērā situāciju darbības jomā. Atbilstīgos gadījumos cenšas panākt arī privātā un publiskā sektora līdzsvaru.</w:t>
      </w:r>
    </w:p>
  </w:footnote>
  <w:footnote w:id="16">
    <w:p w:rsidR="00016C92" w:rsidRPr="00EC4B86" w14:paraId="2DDC404A" w14:textId="77777777">
      <w:pPr>
        <w:pStyle w:val="FootnoteText"/>
        <w:rPr>
          <w:sz w:val="18"/>
          <w:szCs w:val="18"/>
        </w:rPr>
      </w:pPr>
      <w:r w:rsidRPr="00B70691">
        <w:rPr>
          <w:rStyle w:val="FootnoteReference"/>
          <w:sz w:val="18"/>
          <w:szCs w:val="18"/>
        </w:rPr>
        <w:footnoteRef/>
      </w:r>
      <w:r>
        <w:t xml:space="preserve"> </w:t>
      </w:r>
      <w:r w:rsidRPr="00B70691">
        <w:rPr>
          <w:sz w:val="18"/>
          <w:szCs w:val="18"/>
        </w:rPr>
        <w:t>Pieejams tīmekļa vietnē:  http://ec.europa.eu/research/participants/data/ref/h2020/other/wp/2016_2017/annexes/h2020-wp1617-annex-h-esacrit_en.pdf</w:t>
      </w:r>
    </w:p>
  </w:footnote>
  <w:footnote w:id="17">
    <w:p w:rsidR="00016C92" w14:paraId="759B1C57" w14:textId="77777777">
      <w:pPr>
        <w:pStyle w:val="FootnoteText"/>
      </w:pPr>
      <w:r>
        <w:rPr>
          <w:rStyle w:val="FootnoteReference"/>
        </w:rPr>
        <w:footnoteRef/>
      </w:r>
      <w:r>
        <w:t xml:space="preserve"> Ievērojot, ka grozījumi šobrīd vēl ir saskaņošanas procesā, minētā informācija ir indikatīva un saskaņošanas gaitā var mainīties. </w:t>
      </w:r>
    </w:p>
  </w:footnote>
  <w:footnote w:id="18">
    <w:p w:rsidR="00016C92" w14:paraId="45EB16C3" w14:textId="762F8F3D">
      <w:pPr>
        <w:pStyle w:val="FootnoteText"/>
      </w:pPr>
      <w:r>
        <w:rPr>
          <w:rStyle w:val="FootnoteReference"/>
        </w:rPr>
        <w:footnoteRef/>
      </w:r>
      <w:r>
        <w:t xml:space="preserve"> novērtējumam (punktos) plānots piemērot korekcijas koeficientu (svaru), kura vērtība nosakāma atlases nolikuma izstrādes un saskaņošanas posmā.</w:t>
      </w:r>
    </w:p>
  </w:footnote>
  <w:footnote w:id="19">
    <w:p w:rsidR="00016C92" w14:paraId="5A9B1E0E" w14:textId="77777777">
      <w:pPr>
        <w:pStyle w:val="FootnoteText"/>
      </w:pPr>
      <w:r>
        <w:rPr>
          <w:rStyle w:val="FootnoteReference"/>
        </w:rPr>
        <w:footnoteRef/>
      </w:r>
      <w:r>
        <w:t xml:space="preserve"> Ievērojot, ka minēto MK noteikumu projekts ir izstrādes procesā, informācija var mainīties atkarībā no saskaņošanas gaitā paustajiem viedokļiem.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3261467"/>
      <w:docPartObj>
        <w:docPartGallery w:val="Page Numbers (Top of Page)"/>
        <w:docPartUnique/>
      </w:docPartObj>
    </w:sdtPr>
    <w:sdtEndPr>
      <w:rPr>
        <w:noProof/>
      </w:rPr>
    </w:sdtEndPr>
    <w:sdtContent>
      <w:p w:rsidR="00016C92" w:rsidRPr="006F1B6F" w:rsidP="001D4D5A" w14:paraId="5611419B" w14:textId="77777777">
        <w:pPr>
          <w:pStyle w:val="Header"/>
        </w:pPr>
        <w:r w:rsidRPr="006F1B6F">
          <w:fldChar w:fldCharType="begin"/>
        </w:r>
        <w:r w:rsidRPr="006F1B6F">
          <w:instrText xml:space="preserve"> PAGE   \* MERGEFORMAT </w:instrText>
        </w:r>
        <w:r w:rsidRPr="006F1B6F">
          <w:fldChar w:fldCharType="separate"/>
        </w:r>
        <w:r>
          <w:rPr>
            <w:noProof/>
          </w:rPr>
          <w:t>3</w:t>
        </w:r>
        <w:r w:rsidRPr="006F1B6F">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5256778"/>
      <w:docPartObj>
        <w:docPartGallery w:val="Page Numbers (Top of Page)"/>
        <w:docPartUnique/>
      </w:docPartObj>
    </w:sdtPr>
    <w:sdtEndPr>
      <w:rPr>
        <w:noProof/>
      </w:rPr>
    </w:sdtEndPr>
    <w:sdtContent>
      <w:p w:rsidR="00016C92" w14:paraId="387C615F" w14:textId="0588D4B9">
        <w:pPr>
          <w:pStyle w:val="Header"/>
          <w:jc w:val="center"/>
        </w:pPr>
        <w:r>
          <w:fldChar w:fldCharType="begin"/>
        </w:r>
        <w:r>
          <w:instrText xml:space="preserve"> PAGE   \* MERGEFORMAT </w:instrText>
        </w:r>
        <w:r>
          <w:fldChar w:fldCharType="separate"/>
        </w:r>
        <w:r w:rsidR="00290893">
          <w:rPr>
            <w:noProof/>
          </w:rPr>
          <w:t>49</w:t>
        </w:r>
        <w:r>
          <w:rPr>
            <w:noProof/>
          </w:rPr>
          <w:fldChar w:fldCharType="end"/>
        </w:r>
      </w:p>
    </w:sdtContent>
  </w:sdt>
  <w:p w:rsidR="00016C92" w:rsidP="001D4D5A" w14:paraId="2EA52FF3" w14:textId="52788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6991171"/>
      <w:docPartObj>
        <w:docPartGallery w:val="Page Numbers (Top of Page)"/>
        <w:docPartUnique/>
      </w:docPartObj>
    </w:sdtPr>
    <w:sdtEndPr>
      <w:rPr>
        <w:noProof/>
      </w:rPr>
    </w:sdtEndPr>
    <w:sdtContent>
      <w:p w:rsidR="00016C92" w:rsidRPr="00EF76D8" w:rsidP="004A0A1B" w14:paraId="7F0BE8F5" w14:textId="77777777">
        <w:pPr>
          <w:pStyle w:val="Header"/>
          <w:jc w:val="center"/>
        </w:pPr>
        <w:r w:rsidRPr="00EF76D8">
          <w:fldChar w:fldCharType="begin"/>
        </w:r>
        <w:r w:rsidRPr="00EF76D8">
          <w:instrText xml:space="preserve"> PAGE   \* MERGEFORMAT </w:instrText>
        </w:r>
        <w:r w:rsidRPr="00EF76D8">
          <w:fldChar w:fldCharType="separate"/>
        </w:r>
        <w:r w:rsidR="00290893">
          <w:rPr>
            <w:noProof/>
          </w:rPr>
          <w:t>47</w:t>
        </w:r>
        <w:r w:rsidRPr="00EF76D8">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7343800"/>
      <w:docPartObj>
        <w:docPartGallery w:val="Page Numbers (Top of Page)"/>
        <w:docPartUnique/>
      </w:docPartObj>
    </w:sdtPr>
    <w:sdtEndPr>
      <w:rPr>
        <w:noProof/>
      </w:rPr>
    </w:sdtEndPr>
    <w:sdtContent>
      <w:p w:rsidR="00016C92" w:rsidP="001D4D5A" w14:paraId="40E43F59" w14:textId="77777777">
        <w:pPr>
          <w:pStyle w:val="Header"/>
        </w:pPr>
        <w:r>
          <w:fldChar w:fldCharType="begin"/>
        </w:r>
        <w:r>
          <w:instrText xml:space="preserve"> PAGE   \* MERGEFORMAT </w:instrText>
        </w:r>
        <w:r>
          <w:fldChar w:fldCharType="separate"/>
        </w:r>
        <w:r w:rsidR="00290893">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1699"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15:restartNumberingAfterBreak="1">
    <w:nsid w:val="02FA5D34"/>
    <w:multiLevelType w:val="multilevel"/>
    <w:tmpl w:val="A0D0FD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21C41AF9"/>
    <w:multiLevelType w:val="hybridMultilevel"/>
    <w:tmpl w:val="8306F44C"/>
    <w:lvl w:ilvl="0">
      <w:start w:val="1"/>
      <w:numFmt w:val="bullet"/>
      <w:pStyle w:val="BulletF"/>
      <w:lvlText w:val=""/>
      <w:lvlJc w:val="left"/>
      <w:pPr>
        <w:ind w:left="1797" w:hanging="360"/>
      </w:pPr>
      <w:rPr>
        <w:rFonts w:ascii="Symbol" w:hAnsi="Symbol" w:hint="default"/>
        <w:color w:val="732117" w:themeColor="accent2" w:themeShade="BF"/>
        <w:sz w:val="24"/>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3" w15:restartNumberingAfterBreak="1">
    <w:nsid w:val="3D466F26"/>
    <w:multiLevelType w:val="hybridMultilevel"/>
    <w:tmpl w:val="566CC728"/>
    <w:lvl w:ilvl="0">
      <w:start w:val="1"/>
      <w:numFmt w:val="bullet"/>
      <w:pStyle w:val="BulletsF"/>
      <w:lvlText w:val=""/>
      <w:lvlJc w:val="left"/>
      <w:pPr>
        <w:ind w:left="1080" w:hanging="360"/>
      </w:pPr>
      <w:rPr>
        <w:rFonts w:ascii="Symbol" w:hAnsi="Symbol" w:hint="default"/>
        <w:i/>
        <w:color w:val="B23524"/>
        <w:sz w:val="24"/>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4063676C"/>
    <w:multiLevelType w:val="multilevel"/>
    <w:tmpl w:val="E97CF4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568036C0"/>
    <w:multiLevelType w:val="hybridMultilevel"/>
    <w:tmpl w:val="18C804CC"/>
    <w:lvl w:ilvl="0">
      <w:start w:val="1"/>
      <w:numFmt w:val="bullet"/>
      <w:lvlText w:val=""/>
      <w:lvlJc w:val="left"/>
      <w:pPr>
        <w:ind w:left="1077" w:hanging="360"/>
      </w:pPr>
      <w:rPr>
        <w:rFonts w:ascii="Symbol" w:hAnsi="Symbol" w:hint="default"/>
        <w:color w:val="B23524"/>
        <w:sz w:val="24"/>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6" w15:restartNumberingAfterBreak="1">
    <w:nsid w:val="5A757919"/>
    <w:multiLevelType w:val="multilevel"/>
    <w:tmpl w:val="A274C334"/>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7" w15:restartNumberingAfterBreak="1">
    <w:nsid w:val="603C1DDA"/>
    <w:multiLevelType w:val="hybridMultilevel"/>
    <w:tmpl w:val="D372746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1">
    <w:nsid w:val="70C873A9"/>
    <w:multiLevelType w:val="hybridMultilevel"/>
    <w:tmpl w:val="74B01B34"/>
    <w:lvl w:ilvl="0">
      <w:start w:val="1"/>
      <w:numFmt w:val="bullet"/>
      <w:pStyle w:val="BulletA"/>
      <w:lvlText w:val=""/>
      <w:lvlJc w:val="left"/>
      <w:pPr>
        <w:ind w:left="1494" w:hanging="360"/>
      </w:pPr>
      <w:rPr>
        <w:rFonts w:ascii="Wingdings" w:hAnsi="Wingdings" w:hint="default"/>
        <w:color w:val="732117" w:themeColor="accent2" w:themeShade="BF"/>
        <w:sz w:val="24"/>
      </w:rPr>
    </w:lvl>
    <w:lvl w:ilvl="1">
      <w:start w:val="0"/>
      <w:numFmt w:val="bullet"/>
      <w:lvlText w:val="–"/>
      <w:lvlJc w:val="left"/>
      <w:pPr>
        <w:ind w:left="2648" w:hanging="360"/>
      </w:pPr>
      <w:rPr>
        <w:rFonts w:ascii="Times New Roman" w:hAnsi="Times New Roman" w:eastAsiaTheme="minorEastAsia" w:cs="Times New Roman" w:hint="default"/>
      </w:rPr>
    </w:lvl>
    <w:lvl w:ilvl="2">
      <w:start w:val="1"/>
      <w:numFmt w:val="bullet"/>
      <w:lvlText w:val=""/>
      <w:lvlJc w:val="left"/>
      <w:pPr>
        <w:ind w:left="3368" w:hanging="360"/>
      </w:pPr>
      <w:rPr>
        <w:rFonts w:ascii="Wingdings" w:hAnsi="Wingdings" w:hint="default"/>
      </w:rPr>
    </w:lvl>
    <w:lvl w:ilvl="3" w:tentative="1">
      <w:start w:val="1"/>
      <w:numFmt w:val="bullet"/>
      <w:lvlText w:val=""/>
      <w:lvlJc w:val="left"/>
      <w:pPr>
        <w:ind w:left="4088" w:hanging="360"/>
      </w:pPr>
      <w:rPr>
        <w:rFonts w:ascii="Symbol" w:hAnsi="Symbol" w:hint="default"/>
      </w:rPr>
    </w:lvl>
    <w:lvl w:ilvl="4" w:tentative="1">
      <w:start w:val="1"/>
      <w:numFmt w:val="bullet"/>
      <w:lvlText w:val="o"/>
      <w:lvlJc w:val="left"/>
      <w:pPr>
        <w:ind w:left="4808" w:hanging="360"/>
      </w:pPr>
      <w:rPr>
        <w:rFonts w:ascii="Courier New" w:hAnsi="Courier New" w:cs="Courier New" w:hint="default"/>
      </w:rPr>
    </w:lvl>
    <w:lvl w:ilvl="5" w:tentative="1">
      <w:start w:val="1"/>
      <w:numFmt w:val="bullet"/>
      <w:lvlText w:val=""/>
      <w:lvlJc w:val="left"/>
      <w:pPr>
        <w:ind w:left="5528" w:hanging="360"/>
      </w:pPr>
      <w:rPr>
        <w:rFonts w:ascii="Wingdings" w:hAnsi="Wingdings" w:hint="default"/>
      </w:rPr>
    </w:lvl>
    <w:lvl w:ilvl="6" w:tentative="1">
      <w:start w:val="1"/>
      <w:numFmt w:val="bullet"/>
      <w:lvlText w:val=""/>
      <w:lvlJc w:val="left"/>
      <w:pPr>
        <w:ind w:left="6248" w:hanging="360"/>
      </w:pPr>
      <w:rPr>
        <w:rFonts w:ascii="Symbol" w:hAnsi="Symbol" w:hint="default"/>
      </w:rPr>
    </w:lvl>
    <w:lvl w:ilvl="7" w:tentative="1">
      <w:start w:val="1"/>
      <w:numFmt w:val="bullet"/>
      <w:lvlText w:val="o"/>
      <w:lvlJc w:val="left"/>
      <w:pPr>
        <w:ind w:left="6968" w:hanging="360"/>
      </w:pPr>
      <w:rPr>
        <w:rFonts w:ascii="Courier New" w:hAnsi="Courier New" w:cs="Courier New" w:hint="default"/>
      </w:rPr>
    </w:lvl>
    <w:lvl w:ilvl="8" w:tentative="1">
      <w:start w:val="1"/>
      <w:numFmt w:val="bullet"/>
      <w:lvlText w:val=""/>
      <w:lvlJc w:val="left"/>
      <w:pPr>
        <w:ind w:left="7688"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5"/>
  </w:num>
  <w:num w:numId="7">
    <w:abstractNumId w:val="5"/>
  </w:num>
  <w:num w:numId="8">
    <w:abstractNumId w:val="7"/>
  </w:num>
  <w:num w:numId="9">
    <w:abstractNumId w:val="5"/>
  </w:num>
  <w:num w:numId="10">
    <w:abstractNumId w:val="5"/>
  </w:num>
  <w:num w:numId="11">
    <w:abstractNumId w:val="5"/>
  </w:num>
  <w:num w:numId="12">
    <w:abstractNumId w:val="1"/>
  </w:num>
  <w:num w:numId="13">
    <w:abstractNumId w:val="4"/>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64"/>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DB"/>
    <w:rsid w:val="00000D23"/>
    <w:rsid w:val="00001BBB"/>
    <w:rsid w:val="0000346E"/>
    <w:rsid w:val="00004383"/>
    <w:rsid w:val="0000508F"/>
    <w:rsid w:val="000054D3"/>
    <w:rsid w:val="00006B9E"/>
    <w:rsid w:val="00007436"/>
    <w:rsid w:val="000103F4"/>
    <w:rsid w:val="00011785"/>
    <w:rsid w:val="00013B3B"/>
    <w:rsid w:val="000140E1"/>
    <w:rsid w:val="000157CE"/>
    <w:rsid w:val="00015AA9"/>
    <w:rsid w:val="00015B35"/>
    <w:rsid w:val="00016186"/>
    <w:rsid w:val="000166FC"/>
    <w:rsid w:val="00016A34"/>
    <w:rsid w:val="00016C92"/>
    <w:rsid w:val="00016CCC"/>
    <w:rsid w:val="00016D1C"/>
    <w:rsid w:val="000173D9"/>
    <w:rsid w:val="000176C1"/>
    <w:rsid w:val="00017C03"/>
    <w:rsid w:val="00017CBA"/>
    <w:rsid w:val="00021B39"/>
    <w:rsid w:val="000222AA"/>
    <w:rsid w:val="000226F7"/>
    <w:rsid w:val="0002271E"/>
    <w:rsid w:val="000238B5"/>
    <w:rsid w:val="00025787"/>
    <w:rsid w:val="00025CE3"/>
    <w:rsid w:val="00025DD6"/>
    <w:rsid w:val="00026AD8"/>
    <w:rsid w:val="000278DF"/>
    <w:rsid w:val="00027E3F"/>
    <w:rsid w:val="00030120"/>
    <w:rsid w:val="000322BE"/>
    <w:rsid w:val="000326BF"/>
    <w:rsid w:val="00035354"/>
    <w:rsid w:val="00035B64"/>
    <w:rsid w:val="00036EBB"/>
    <w:rsid w:val="0003719E"/>
    <w:rsid w:val="00037D99"/>
    <w:rsid w:val="00040412"/>
    <w:rsid w:val="000415B8"/>
    <w:rsid w:val="000419CE"/>
    <w:rsid w:val="00042324"/>
    <w:rsid w:val="00042DD6"/>
    <w:rsid w:val="00042FEC"/>
    <w:rsid w:val="0004301A"/>
    <w:rsid w:val="0004319E"/>
    <w:rsid w:val="00044172"/>
    <w:rsid w:val="00044C0F"/>
    <w:rsid w:val="0004558B"/>
    <w:rsid w:val="0004667F"/>
    <w:rsid w:val="00051A38"/>
    <w:rsid w:val="0005347E"/>
    <w:rsid w:val="00054609"/>
    <w:rsid w:val="0005654D"/>
    <w:rsid w:val="00056608"/>
    <w:rsid w:val="00060E14"/>
    <w:rsid w:val="000612F7"/>
    <w:rsid w:val="00061A67"/>
    <w:rsid w:val="00062F5C"/>
    <w:rsid w:val="0006331A"/>
    <w:rsid w:val="000636D7"/>
    <w:rsid w:val="000651AE"/>
    <w:rsid w:val="00065701"/>
    <w:rsid w:val="0006695A"/>
    <w:rsid w:val="00066E50"/>
    <w:rsid w:val="0007181A"/>
    <w:rsid w:val="000725C4"/>
    <w:rsid w:val="00073542"/>
    <w:rsid w:val="00073A87"/>
    <w:rsid w:val="00073C69"/>
    <w:rsid w:val="00076601"/>
    <w:rsid w:val="00077238"/>
    <w:rsid w:val="00077601"/>
    <w:rsid w:val="000779D5"/>
    <w:rsid w:val="0008184D"/>
    <w:rsid w:val="00081CDA"/>
    <w:rsid w:val="00082231"/>
    <w:rsid w:val="000823EF"/>
    <w:rsid w:val="000827DC"/>
    <w:rsid w:val="00083075"/>
    <w:rsid w:val="00083222"/>
    <w:rsid w:val="0008377C"/>
    <w:rsid w:val="00083E6D"/>
    <w:rsid w:val="00084106"/>
    <w:rsid w:val="0008487B"/>
    <w:rsid w:val="00084A28"/>
    <w:rsid w:val="00085CB8"/>
    <w:rsid w:val="00086B6E"/>
    <w:rsid w:val="000902EA"/>
    <w:rsid w:val="000909E3"/>
    <w:rsid w:val="00090A07"/>
    <w:rsid w:val="000923B3"/>
    <w:rsid w:val="000934CC"/>
    <w:rsid w:val="00094BD4"/>
    <w:rsid w:val="0009530C"/>
    <w:rsid w:val="00097BA0"/>
    <w:rsid w:val="000A0527"/>
    <w:rsid w:val="000A0F47"/>
    <w:rsid w:val="000A1058"/>
    <w:rsid w:val="000A187F"/>
    <w:rsid w:val="000A2819"/>
    <w:rsid w:val="000A362E"/>
    <w:rsid w:val="000A49EA"/>
    <w:rsid w:val="000A4B77"/>
    <w:rsid w:val="000A592D"/>
    <w:rsid w:val="000A5A62"/>
    <w:rsid w:val="000A5BF5"/>
    <w:rsid w:val="000A6E4E"/>
    <w:rsid w:val="000A725B"/>
    <w:rsid w:val="000A7BED"/>
    <w:rsid w:val="000A7D1C"/>
    <w:rsid w:val="000B0379"/>
    <w:rsid w:val="000B087B"/>
    <w:rsid w:val="000B11FD"/>
    <w:rsid w:val="000B28A5"/>
    <w:rsid w:val="000B2A9C"/>
    <w:rsid w:val="000B3827"/>
    <w:rsid w:val="000B395A"/>
    <w:rsid w:val="000B3FDE"/>
    <w:rsid w:val="000B4DC1"/>
    <w:rsid w:val="000C033C"/>
    <w:rsid w:val="000C0653"/>
    <w:rsid w:val="000C109D"/>
    <w:rsid w:val="000C1DAE"/>
    <w:rsid w:val="000C235C"/>
    <w:rsid w:val="000C4192"/>
    <w:rsid w:val="000C4E3A"/>
    <w:rsid w:val="000D05CB"/>
    <w:rsid w:val="000D0BFE"/>
    <w:rsid w:val="000D1106"/>
    <w:rsid w:val="000D1418"/>
    <w:rsid w:val="000D1F85"/>
    <w:rsid w:val="000D394B"/>
    <w:rsid w:val="000D3E8A"/>
    <w:rsid w:val="000D4712"/>
    <w:rsid w:val="000D4AFA"/>
    <w:rsid w:val="000D6546"/>
    <w:rsid w:val="000D6DCF"/>
    <w:rsid w:val="000E08CC"/>
    <w:rsid w:val="000E352F"/>
    <w:rsid w:val="000E37EE"/>
    <w:rsid w:val="000E479D"/>
    <w:rsid w:val="000E5967"/>
    <w:rsid w:val="000E5EBA"/>
    <w:rsid w:val="000F13E0"/>
    <w:rsid w:val="000F1DD1"/>
    <w:rsid w:val="000F3F61"/>
    <w:rsid w:val="000F59A8"/>
    <w:rsid w:val="000F5DE2"/>
    <w:rsid w:val="000F773D"/>
    <w:rsid w:val="000F7AF0"/>
    <w:rsid w:val="000F7D42"/>
    <w:rsid w:val="00100AF2"/>
    <w:rsid w:val="00100BDE"/>
    <w:rsid w:val="00100DB3"/>
    <w:rsid w:val="001026CD"/>
    <w:rsid w:val="00102C0B"/>
    <w:rsid w:val="001030AF"/>
    <w:rsid w:val="001031CA"/>
    <w:rsid w:val="00104555"/>
    <w:rsid w:val="001058EE"/>
    <w:rsid w:val="00105F1D"/>
    <w:rsid w:val="0010693D"/>
    <w:rsid w:val="001069C2"/>
    <w:rsid w:val="00107A48"/>
    <w:rsid w:val="00112E68"/>
    <w:rsid w:val="0011323B"/>
    <w:rsid w:val="0011327F"/>
    <w:rsid w:val="001142F8"/>
    <w:rsid w:val="00114C9A"/>
    <w:rsid w:val="001161DF"/>
    <w:rsid w:val="001165F4"/>
    <w:rsid w:val="001170E7"/>
    <w:rsid w:val="00117100"/>
    <w:rsid w:val="00117114"/>
    <w:rsid w:val="00117BD0"/>
    <w:rsid w:val="0012112A"/>
    <w:rsid w:val="0012314B"/>
    <w:rsid w:val="0012369F"/>
    <w:rsid w:val="0012434A"/>
    <w:rsid w:val="00124CD6"/>
    <w:rsid w:val="00126693"/>
    <w:rsid w:val="00126C19"/>
    <w:rsid w:val="00126D17"/>
    <w:rsid w:val="001305F1"/>
    <w:rsid w:val="00133ACC"/>
    <w:rsid w:val="00133F91"/>
    <w:rsid w:val="00134142"/>
    <w:rsid w:val="001346F7"/>
    <w:rsid w:val="001347E1"/>
    <w:rsid w:val="001356C7"/>
    <w:rsid w:val="0013573E"/>
    <w:rsid w:val="00135FAE"/>
    <w:rsid w:val="001361F7"/>
    <w:rsid w:val="0013620F"/>
    <w:rsid w:val="00136375"/>
    <w:rsid w:val="001368F2"/>
    <w:rsid w:val="0014008B"/>
    <w:rsid w:val="001410F5"/>
    <w:rsid w:val="00142F45"/>
    <w:rsid w:val="00143287"/>
    <w:rsid w:val="001435DE"/>
    <w:rsid w:val="001445F5"/>
    <w:rsid w:val="00145052"/>
    <w:rsid w:val="001458F3"/>
    <w:rsid w:val="00146EA2"/>
    <w:rsid w:val="0014727F"/>
    <w:rsid w:val="00147E0D"/>
    <w:rsid w:val="00150190"/>
    <w:rsid w:val="00150CF0"/>
    <w:rsid w:val="00150EB5"/>
    <w:rsid w:val="00151196"/>
    <w:rsid w:val="001523D8"/>
    <w:rsid w:val="00152627"/>
    <w:rsid w:val="00153302"/>
    <w:rsid w:val="00154015"/>
    <w:rsid w:val="001544DC"/>
    <w:rsid w:val="00154F02"/>
    <w:rsid w:val="00155013"/>
    <w:rsid w:val="00155F13"/>
    <w:rsid w:val="00155FEF"/>
    <w:rsid w:val="001563E4"/>
    <w:rsid w:val="00157319"/>
    <w:rsid w:val="00160875"/>
    <w:rsid w:val="00160A95"/>
    <w:rsid w:val="00160E7C"/>
    <w:rsid w:val="00160F57"/>
    <w:rsid w:val="00161769"/>
    <w:rsid w:val="00162A53"/>
    <w:rsid w:val="00163694"/>
    <w:rsid w:val="0016422D"/>
    <w:rsid w:val="0016465E"/>
    <w:rsid w:val="001654A0"/>
    <w:rsid w:val="00165B6D"/>
    <w:rsid w:val="00167BAA"/>
    <w:rsid w:val="00167CD8"/>
    <w:rsid w:val="00170992"/>
    <w:rsid w:val="00170AA8"/>
    <w:rsid w:val="00171199"/>
    <w:rsid w:val="00171473"/>
    <w:rsid w:val="00172CA8"/>
    <w:rsid w:val="00175402"/>
    <w:rsid w:val="001756AF"/>
    <w:rsid w:val="00175ACF"/>
    <w:rsid w:val="00175D12"/>
    <w:rsid w:val="00176118"/>
    <w:rsid w:val="001814A6"/>
    <w:rsid w:val="001826B8"/>
    <w:rsid w:val="00185770"/>
    <w:rsid w:val="00186716"/>
    <w:rsid w:val="00186FA0"/>
    <w:rsid w:val="00187135"/>
    <w:rsid w:val="0018769F"/>
    <w:rsid w:val="001901B4"/>
    <w:rsid w:val="00191AAF"/>
    <w:rsid w:val="001925D8"/>
    <w:rsid w:val="001935B9"/>
    <w:rsid w:val="00194C17"/>
    <w:rsid w:val="00196854"/>
    <w:rsid w:val="00196E28"/>
    <w:rsid w:val="001A121E"/>
    <w:rsid w:val="001A18B7"/>
    <w:rsid w:val="001A48C2"/>
    <w:rsid w:val="001A54B7"/>
    <w:rsid w:val="001A6C18"/>
    <w:rsid w:val="001A7F10"/>
    <w:rsid w:val="001B1315"/>
    <w:rsid w:val="001B1854"/>
    <w:rsid w:val="001B2FB9"/>
    <w:rsid w:val="001B32BB"/>
    <w:rsid w:val="001B3742"/>
    <w:rsid w:val="001B4765"/>
    <w:rsid w:val="001B4F11"/>
    <w:rsid w:val="001B5B85"/>
    <w:rsid w:val="001B6612"/>
    <w:rsid w:val="001B676D"/>
    <w:rsid w:val="001C07A2"/>
    <w:rsid w:val="001C18F3"/>
    <w:rsid w:val="001C236D"/>
    <w:rsid w:val="001C24EC"/>
    <w:rsid w:val="001C2528"/>
    <w:rsid w:val="001C4D1B"/>
    <w:rsid w:val="001C59B3"/>
    <w:rsid w:val="001C5B90"/>
    <w:rsid w:val="001C6D50"/>
    <w:rsid w:val="001C7379"/>
    <w:rsid w:val="001D160E"/>
    <w:rsid w:val="001D1B89"/>
    <w:rsid w:val="001D1D20"/>
    <w:rsid w:val="001D2152"/>
    <w:rsid w:val="001D3660"/>
    <w:rsid w:val="001D4D5A"/>
    <w:rsid w:val="001D50F6"/>
    <w:rsid w:val="001D5D1B"/>
    <w:rsid w:val="001D6192"/>
    <w:rsid w:val="001D6AB1"/>
    <w:rsid w:val="001D6BEE"/>
    <w:rsid w:val="001D6DF9"/>
    <w:rsid w:val="001E0139"/>
    <w:rsid w:val="001E1E5A"/>
    <w:rsid w:val="001E204E"/>
    <w:rsid w:val="001E23A6"/>
    <w:rsid w:val="001E3F66"/>
    <w:rsid w:val="001E49B6"/>
    <w:rsid w:val="001E4DFA"/>
    <w:rsid w:val="001E5381"/>
    <w:rsid w:val="001E5AD0"/>
    <w:rsid w:val="001E63D3"/>
    <w:rsid w:val="001F1988"/>
    <w:rsid w:val="001F2D02"/>
    <w:rsid w:val="001F3A58"/>
    <w:rsid w:val="001F59FA"/>
    <w:rsid w:val="001F5D0F"/>
    <w:rsid w:val="00200417"/>
    <w:rsid w:val="00201176"/>
    <w:rsid w:val="00201699"/>
    <w:rsid w:val="00202A3C"/>
    <w:rsid w:val="002030EF"/>
    <w:rsid w:val="00205543"/>
    <w:rsid w:val="00206A8D"/>
    <w:rsid w:val="00207B3D"/>
    <w:rsid w:val="00211721"/>
    <w:rsid w:val="00212730"/>
    <w:rsid w:val="002127F5"/>
    <w:rsid w:val="00213CEC"/>
    <w:rsid w:val="00214364"/>
    <w:rsid w:val="002144EF"/>
    <w:rsid w:val="00214E4F"/>
    <w:rsid w:val="00215E19"/>
    <w:rsid w:val="002164D2"/>
    <w:rsid w:val="00217536"/>
    <w:rsid w:val="002178EA"/>
    <w:rsid w:val="00220479"/>
    <w:rsid w:val="00220991"/>
    <w:rsid w:val="00221286"/>
    <w:rsid w:val="0022166E"/>
    <w:rsid w:val="002231F4"/>
    <w:rsid w:val="0022325A"/>
    <w:rsid w:val="00223E08"/>
    <w:rsid w:val="00223EF0"/>
    <w:rsid w:val="00224C0E"/>
    <w:rsid w:val="00224D17"/>
    <w:rsid w:val="0022607E"/>
    <w:rsid w:val="002279A4"/>
    <w:rsid w:val="0023002A"/>
    <w:rsid w:val="00230BFE"/>
    <w:rsid w:val="0023121F"/>
    <w:rsid w:val="0023152C"/>
    <w:rsid w:val="002315E0"/>
    <w:rsid w:val="0023277F"/>
    <w:rsid w:val="00232A60"/>
    <w:rsid w:val="00232E00"/>
    <w:rsid w:val="00233661"/>
    <w:rsid w:val="002346EA"/>
    <w:rsid w:val="00235E44"/>
    <w:rsid w:val="002368F8"/>
    <w:rsid w:val="00241003"/>
    <w:rsid w:val="002427C3"/>
    <w:rsid w:val="00242B92"/>
    <w:rsid w:val="002450FE"/>
    <w:rsid w:val="00246857"/>
    <w:rsid w:val="002504F0"/>
    <w:rsid w:val="00251279"/>
    <w:rsid w:val="002512BE"/>
    <w:rsid w:val="002514D3"/>
    <w:rsid w:val="00253079"/>
    <w:rsid w:val="00253722"/>
    <w:rsid w:val="00253CB7"/>
    <w:rsid w:val="00254F9D"/>
    <w:rsid w:val="00255043"/>
    <w:rsid w:val="002551AF"/>
    <w:rsid w:val="00256D12"/>
    <w:rsid w:val="00257A07"/>
    <w:rsid w:val="00257AB1"/>
    <w:rsid w:val="00260208"/>
    <w:rsid w:val="00260E6E"/>
    <w:rsid w:val="0026103D"/>
    <w:rsid w:val="00261ACE"/>
    <w:rsid w:val="002625FE"/>
    <w:rsid w:val="00262CD6"/>
    <w:rsid w:val="00262EE7"/>
    <w:rsid w:val="0026377D"/>
    <w:rsid w:val="0026401A"/>
    <w:rsid w:val="00264208"/>
    <w:rsid w:val="00264307"/>
    <w:rsid w:val="002651BB"/>
    <w:rsid w:val="00265D69"/>
    <w:rsid w:val="00266B04"/>
    <w:rsid w:val="002674CB"/>
    <w:rsid w:val="00267C5F"/>
    <w:rsid w:val="002712FE"/>
    <w:rsid w:val="00271367"/>
    <w:rsid w:val="00271712"/>
    <w:rsid w:val="00271B95"/>
    <w:rsid w:val="00272E10"/>
    <w:rsid w:val="00274252"/>
    <w:rsid w:val="00276423"/>
    <w:rsid w:val="0027740F"/>
    <w:rsid w:val="00277C4E"/>
    <w:rsid w:val="0028225B"/>
    <w:rsid w:val="002822BF"/>
    <w:rsid w:val="002825D3"/>
    <w:rsid w:val="00283045"/>
    <w:rsid w:val="00283264"/>
    <w:rsid w:val="002863EE"/>
    <w:rsid w:val="0028691D"/>
    <w:rsid w:val="00287694"/>
    <w:rsid w:val="00290254"/>
    <w:rsid w:val="00290893"/>
    <w:rsid w:val="00291394"/>
    <w:rsid w:val="00291A00"/>
    <w:rsid w:val="00292181"/>
    <w:rsid w:val="002934EB"/>
    <w:rsid w:val="00293839"/>
    <w:rsid w:val="00296348"/>
    <w:rsid w:val="00296A5F"/>
    <w:rsid w:val="002A02BB"/>
    <w:rsid w:val="002A07BA"/>
    <w:rsid w:val="002A0DDA"/>
    <w:rsid w:val="002A180A"/>
    <w:rsid w:val="002A27DD"/>
    <w:rsid w:val="002A2CC8"/>
    <w:rsid w:val="002A2F34"/>
    <w:rsid w:val="002A34DA"/>
    <w:rsid w:val="002A3ECF"/>
    <w:rsid w:val="002A414E"/>
    <w:rsid w:val="002A52D7"/>
    <w:rsid w:val="002A547E"/>
    <w:rsid w:val="002A67A0"/>
    <w:rsid w:val="002B0521"/>
    <w:rsid w:val="002B110A"/>
    <w:rsid w:val="002B1938"/>
    <w:rsid w:val="002B1F67"/>
    <w:rsid w:val="002B3AAE"/>
    <w:rsid w:val="002B5870"/>
    <w:rsid w:val="002B6E1D"/>
    <w:rsid w:val="002B6F65"/>
    <w:rsid w:val="002C0ED2"/>
    <w:rsid w:val="002C3FB4"/>
    <w:rsid w:val="002C4322"/>
    <w:rsid w:val="002C551C"/>
    <w:rsid w:val="002C616B"/>
    <w:rsid w:val="002C75E9"/>
    <w:rsid w:val="002C76B5"/>
    <w:rsid w:val="002D038C"/>
    <w:rsid w:val="002D0A57"/>
    <w:rsid w:val="002D0CB4"/>
    <w:rsid w:val="002D102A"/>
    <w:rsid w:val="002D1F13"/>
    <w:rsid w:val="002D2715"/>
    <w:rsid w:val="002D2BF6"/>
    <w:rsid w:val="002D325A"/>
    <w:rsid w:val="002D36CB"/>
    <w:rsid w:val="002D6CD0"/>
    <w:rsid w:val="002D6F94"/>
    <w:rsid w:val="002E005F"/>
    <w:rsid w:val="002E0D60"/>
    <w:rsid w:val="002E0DBC"/>
    <w:rsid w:val="002E12C1"/>
    <w:rsid w:val="002E14DF"/>
    <w:rsid w:val="002E1731"/>
    <w:rsid w:val="002E2EDC"/>
    <w:rsid w:val="002E4D80"/>
    <w:rsid w:val="002E51D4"/>
    <w:rsid w:val="002E543B"/>
    <w:rsid w:val="002E5808"/>
    <w:rsid w:val="002F0B00"/>
    <w:rsid w:val="002F15A4"/>
    <w:rsid w:val="002F1E2C"/>
    <w:rsid w:val="002F2CB6"/>
    <w:rsid w:val="002F36E1"/>
    <w:rsid w:val="002F3BA0"/>
    <w:rsid w:val="002F52D0"/>
    <w:rsid w:val="002F6194"/>
    <w:rsid w:val="002F70E4"/>
    <w:rsid w:val="002F718D"/>
    <w:rsid w:val="002F77F7"/>
    <w:rsid w:val="002F7C62"/>
    <w:rsid w:val="00300011"/>
    <w:rsid w:val="003003A5"/>
    <w:rsid w:val="00300E43"/>
    <w:rsid w:val="00300EC6"/>
    <w:rsid w:val="00301FD8"/>
    <w:rsid w:val="00303340"/>
    <w:rsid w:val="00303A4F"/>
    <w:rsid w:val="0030400B"/>
    <w:rsid w:val="00304312"/>
    <w:rsid w:val="0030460A"/>
    <w:rsid w:val="00304C7D"/>
    <w:rsid w:val="00305123"/>
    <w:rsid w:val="0030591B"/>
    <w:rsid w:val="00305F50"/>
    <w:rsid w:val="003061DF"/>
    <w:rsid w:val="0030648C"/>
    <w:rsid w:val="003065A4"/>
    <w:rsid w:val="00307B6B"/>
    <w:rsid w:val="00307F09"/>
    <w:rsid w:val="00311C51"/>
    <w:rsid w:val="00313308"/>
    <w:rsid w:val="003133F4"/>
    <w:rsid w:val="00313DFD"/>
    <w:rsid w:val="003143A2"/>
    <w:rsid w:val="0031485A"/>
    <w:rsid w:val="00316DC1"/>
    <w:rsid w:val="00316E48"/>
    <w:rsid w:val="00321E9D"/>
    <w:rsid w:val="00323401"/>
    <w:rsid w:val="00324306"/>
    <w:rsid w:val="003244E2"/>
    <w:rsid w:val="0032611C"/>
    <w:rsid w:val="00327807"/>
    <w:rsid w:val="00330156"/>
    <w:rsid w:val="00332321"/>
    <w:rsid w:val="00333BF7"/>
    <w:rsid w:val="0033472E"/>
    <w:rsid w:val="003356B4"/>
    <w:rsid w:val="003401E3"/>
    <w:rsid w:val="0034116C"/>
    <w:rsid w:val="00341608"/>
    <w:rsid w:val="003433AF"/>
    <w:rsid w:val="00343C08"/>
    <w:rsid w:val="00343C88"/>
    <w:rsid w:val="003462BC"/>
    <w:rsid w:val="00346C99"/>
    <w:rsid w:val="00347296"/>
    <w:rsid w:val="00347EFC"/>
    <w:rsid w:val="00350228"/>
    <w:rsid w:val="00350536"/>
    <w:rsid w:val="003508EF"/>
    <w:rsid w:val="00350B93"/>
    <w:rsid w:val="0035124D"/>
    <w:rsid w:val="0035185E"/>
    <w:rsid w:val="003524F0"/>
    <w:rsid w:val="003532C9"/>
    <w:rsid w:val="00354457"/>
    <w:rsid w:val="00354A74"/>
    <w:rsid w:val="00356643"/>
    <w:rsid w:val="00357144"/>
    <w:rsid w:val="003575B4"/>
    <w:rsid w:val="0036052E"/>
    <w:rsid w:val="00361297"/>
    <w:rsid w:val="00362C15"/>
    <w:rsid w:val="00363705"/>
    <w:rsid w:val="00363CFE"/>
    <w:rsid w:val="0036441C"/>
    <w:rsid w:val="00364BD3"/>
    <w:rsid w:val="00365540"/>
    <w:rsid w:val="00365C1A"/>
    <w:rsid w:val="00366151"/>
    <w:rsid w:val="00366A3F"/>
    <w:rsid w:val="00366C7E"/>
    <w:rsid w:val="003672A7"/>
    <w:rsid w:val="00370789"/>
    <w:rsid w:val="00371166"/>
    <w:rsid w:val="003718AF"/>
    <w:rsid w:val="003719DC"/>
    <w:rsid w:val="00372344"/>
    <w:rsid w:val="003736D5"/>
    <w:rsid w:val="003737ED"/>
    <w:rsid w:val="0037384A"/>
    <w:rsid w:val="00373914"/>
    <w:rsid w:val="0037478F"/>
    <w:rsid w:val="003761F5"/>
    <w:rsid w:val="00381162"/>
    <w:rsid w:val="003832F0"/>
    <w:rsid w:val="00383803"/>
    <w:rsid w:val="00385D66"/>
    <w:rsid w:val="00385E7D"/>
    <w:rsid w:val="0038690E"/>
    <w:rsid w:val="00386BE6"/>
    <w:rsid w:val="00387645"/>
    <w:rsid w:val="0039028E"/>
    <w:rsid w:val="00390333"/>
    <w:rsid w:val="00391B3F"/>
    <w:rsid w:val="003921E2"/>
    <w:rsid w:val="00392320"/>
    <w:rsid w:val="003923A1"/>
    <w:rsid w:val="00392633"/>
    <w:rsid w:val="003948C3"/>
    <w:rsid w:val="00394AFF"/>
    <w:rsid w:val="0039527D"/>
    <w:rsid w:val="00397261"/>
    <w:rsid w:val="003974D8"/>
    <w:rsid w:val="003A0121"/>
    <w:rsid w:val="003A093C"/>
    <w:rsid w:val="003A2108"/>
    <w:rsid w:val="003A2B46"/>
    <w:rsid w:val="003A4C32"/>
    <w:rsid w:val="003A4F70"/>
    <w:rsid w:val="003A5780"/>
    <w:rsid w:val="003A61DA"/>
    <w:rsid w:val="003A7C38"/>
    <w:rsid w:val="003B00F2"/>
    <w:rsid w:val="003B0BA8"/>
    <w:rsid w:val="003B1109"/>
    <w:rsid w:val="003B3293"/>
    <w:rsid w:val="003B45EF"/>
    <w:rsid w:val="003B49A8"/>
    <w:rsid w:val="003B6E97"/>
    <w:rsid w:val="003B6F9D"/>
    <w:rsid w:val="003B6FE2"/>
    <w:rsid w:val="003B769E"/>
    <w:rsid w:val="003B7F34"/>
    <w:rsid w:val="003B7F9C"/>
    <w:rsid w:val="003C0ABB"/>
    <w:rsid w:val="003C0B53"/>
    <w:rsid w:val="003C0FC9"/>
    <w:rsid w:val="003C19AB"/>
    <w:rsid w:val="003C209F"/>
    <w:rsid w:val="003C2C74"/>
    <w:rsid w:val="003C3B81"/>
    <w:rsid w:val="003C44FA"/>
    <w:rsid w:val="003C5CE1"/>
    <w:rsid w:val="003C6374"/>
    <w:rsid w:val="003C6D94"/>
    <w:rsid w:val="003C7352"/>
    <w:rsid w:val="003C7490"/>
    <w:rsid w:val="003D0D4E"/>
    <w:rsid w:val="003D276A"/>
    <w:rsid w:val="003D403A"/>
    <w:rsid w:val="003D4949"/>
    <w:rsid w:val="003D58C0"/>
    <w:rsid w:val="003D748D"/>
    <w:rsid w:val="003D7736"/>
    <w:rsid w:val="003D7BC0"/>
    <w:rsid w:val="003E02FF"/>
    <w:rsid w:val="003E0DFE"/>
    <w:rsid w:val="003E195D"/>
    <w:rsid w:val="003E37CD"/>
    <w:rsid w:val="003E4BBC"/>
    <w:rsid w:val="003E5041"/>
    <w:rsid w:val="003E657A"/>
    <w:rsid w:val="003E6D68"/>
    <w:rsid w:val="003E71CB"/>
    <w:rsid w:val="003E74FB"/>
    <w:rsid w:val="003F0AEF"/>
    <w:rsid w:val="003F0B1D"/>
    <w:rsid w:val="003F1A8B"/>
    <w:rsid w:val="003F23E8"/>
    <w:rsid w:val="003F3C2B"/>
    <w:rsid w:val="003F3FD4"/>
    <w:rsid w:val="003F6159"/>
    <w:rsid w:val="003F7800"/>
    <w:rsid w:val="003F7D1B"/>
    <w:rsid w:val="00400519"/>
    <w:rsid w:val="004005FA"/>
    <w:rsid w:val="00401C94"/>
    <w:rsid w:val="004021B1"/>
    <w:rsid w:val="00402560"/>
    <w:rsid w:val="00403877"/>
    <w:rsid w:val="00403EFC"/>
    <w:rsid w:val="00404B33"/>
    <w:rsid w:val="00405FFD"/>
    <w:rsid w:val="0040625C"/>
    <w:rsid w:val="0040682A"/>
    <w:rsid w:val="004075BE"/>
    <w:rsid w:val="00407D46"/>
    <w:rsid w:val="00411ABE"/>
    <w:rsid w:val="00412C09"/>
    <w:rsid w:val="004159F8"/>
    <w:rsid w:val="0041603D"/>
    <w:rsid w:val="00420666"/>
    <w:rsid w:val="00421A39"/>
    <w:rsid w:val="004222D9"/>
    <w:rsid w:val="004226B8"/>
    <w:rsid w:val="004227B7"/>
    <w:rsid w:val="00423396"/>
    <w:rsid w:val="0042349A"/>
    <w:rsid w:val="00425240"/>
    <w:rsid w:val="00425285"/>
    <w:rsid w:val="0042591C"/>
    <w:rsid w:val="00427480"/>
    <w:rsid w:val="00427D35"/>
    <w:rsid w:val="004307FB"/>
    <w:rsid w:val="00430A2E"/>
    <w:rsid w:val="00431C2C"/>
    <w:rsid w:val="00432B6A"/>
    <w:rsid w:val="00433203"/>
    <w:rsid w:val="004334EE"/>
    <w:rsid w:val="00435631"/>
    <w:rsid w:val="004365D9"/>
    <w:rsid w:val="004371F4"/>
    <w:rsid w:val="00437E17"/>
    <w:rsid w:val="00440A2E"/>
    <w:rsid w:val="00442824"/>
    <w:rsid w:val="00442B76"/>
    <w:rsid w:val="004443E4"/>
    <w:rsid w:val="0044621F"/>
    <w:rsid w:val="00446B10"/>
    <w:rsid w:val="004511F0"/>
    <w:rsid w:val="004518CF"/>
    <w:rsid w:val="00451FB8"/>
    <w:rsid w:val="00452026"/>
    <w:rsid w:val="00452345"/>
    <w:rsid w:val="004528E5"/>
    <w:rsid w:val="0045574B"/>
    <w:rsid w:val="004565A1"/>
    <w:rsid w:val="00456B2B"/>
    <w:rsid w:val="00460CC7"/>
    <w:rsid w:val="004610BF"/>
    <w:rsid w:val="00461CD3"/>
    <w:rsid w:val="00463C2F"/>
    <w:rsid w:val="00463E9B"/>
    <w:rsid w:val="00463FAA"/>
    <w:rsid w:val="00464B75"/>
    <w:rsid w:val="00465130"/>
    <w:rsid w:val="004653A3"/>
    <w:rsid w:val="00466FCA"/>
    <w:rsid w:val="00467EAE"/>
    <w:rsid w:val="00467EBF"/>
    <w:rsid w:val="00470294"/>
    <w:rsid w:val="00470D05"/>
    <w:rsid w:val="004714C4"/>
    <w:rsid w:val="00471A50"/>
    <w:rsid w:val="00472D9A"/>
    <w:rsid w:val="00473755"/>
    <w:rsid w:val="00475125"/>
    <w:rsid w:val="00475D4C"/>
    <w:rsid w:val="00476CD1"/>
    <w:rsid w:val="004807F3"/>
    <w:rsid w:val="00481871"/>
    <w:rsid w:val="00484132"/>
    <w:rsid w:val="004850F8"/>
    <w:rsid w:val="00485233"/>
    <w:rsid w:val="00485C3A"/>
    <w:rsid w:val="0048656C"/>
    <w:rsid w:val="00486A70"/>
    <w:rsid w:val="00486C5C"/>
    <w:rsid w:val="0048778F"/>
    <w:rsid w:val="00490C0F"/>
    <w:rsid w:val="004915ED"/>
    <w:rsid w:val="00492E87"/>
    <w:rsid w:val="004931B3"/>
    <w:rsid w:val="0049323A"/>
    <w:rsid w:val="00493418"/>
    <w:rsid w:val="004941F1"/>
    <w:rsid w:val="00495C28"/>
    <w:rsid w:val="00495D1F"/>
    <w:rsid w:val="0049689C"/>
    <w:rsid w:val="00497EDE"/>
    <w:rsid w:val="004A0A1B"/>
    <w:rsid w:val="004A0AF3"/>
    <w:rsid w:val="004A140B"/>
    <w:rsid w:val="004A3090"/>
    <w:rsid w:val="004A318B"/>
    <w:rsid w:val="004A3532"/>
    <w:rsid w:val="004A3916"/>
    <w:rsid w:val="004A53FC"/>
    <w:rsid w:val="004A572B"/>
    <w:rsid w:val="004A6E2B"/>
    <w:rsid w:val="004A7199"/>
    <w:rsid w:val="004A774C"/>
    <w:rsid w:val="004B01D6"/>
    <w:rsid w:val="004B0451"/>
    <w:rsid w:val="004B08D2"/>
    <w:rsid w:val="004B1572"/>
    <w:rsid w:val="004B47C5"/>
    <w:rsid w:val="004B52AE"/>
    <w:rsid w:val="004B588B"/>
    <w:rsid w:val="004B5DF3"/>
    <w:rsid w:val="004B5EB7"/>
    <w:rsid w:val="004B7242"/>
    <w:rsid w:val="004C07B5"/>
    <w:rsid w:val="004C22C9"/>
    <w:rsid w:val="004C2699"/>
    <w:rsid w:val="004C2DF3"/>
    <w:rsid w:val="004C3620"/>
    <w:rsid w:val="004C6E79"/>
    <w:rsid w:val="004D06D8"/>
    <w:rsid w:val="004D12FE"/>
    <w:rsid w:val="004D1C05"/>
    <w:rsid w:val="004D236D"/>
    <w:rsid w:val="004D34BC"/>
    <w:rsid w:val="004D3AF2"/>
    <w:rsid w:val="004D4A8C"/>
    <w:rsid w:val="004D650E"/>
    <w:rsid w:val="004D6578"/>
    <w:rsid w:val="004D65DD"/>
    <w:rsid w:val="004D741B"/>
    <w:rsid w:val="004D7B4F"/>
    <w:rsid w:val="004D7EC4"/>
    <w:rsid w:val="004E03A7"/>
    <w:rsid w:val="004E0EFD"/>
    <w:rsid w:val="004E2C46"/>
    <w:rsid w:val="004E2DEE"/>
    <w:rsid w:val="004E3602"/>
    <w:rsid w:val="004E6614"/>
    <w:rsid w:val="004E6D03"/>
    <w:rsid w:val="004F228C"/>
    <w:rsid w:val="004F2775"/>
    <w:rsid w:val="004F3C73"/>
    <w:rsid w:val="004F4C91"/>
    <w:rsid w:val="004F7DD6"/>
    <w:rsid w:val="00501E3F"/>
    <w:rsid w:val="00501EE6"/>
    <w:rsid w:val="00502097"/>
    <w:rsid w:val="00502252"/>
    <w:rsid w:val="00502BC3"/>
    <w:rsid w:val="00504536"/>
    <w:rsid w:val="00505BB6"/>
    <w:rsid w:val="00505C20"/>
    <w:rsid w:val="00505CE0"/>
    <w:rsid w:val="00507410"/>
    <w:rsid w:val="00510724"/>
    <w:rsid w:val="00510E51"/>
    <w:rsid w:val="005122D9"/>
    <w:rsid w:val="00512789"/>
    <w:rsid w:val="00512B7D"/>
    <w:rsid w:val="00512DEF"/>
    <w:rsid w:val="005134AF"/>
    <w:rsid w:val="00514E2E"/>
    <w:rsid w:val="005155B8"/>
    <w:rsid w:val="005203F8"/>
    <w:rsid w:val="00520636"/>
    <w:rsid w:val="00521405"/>
    <w:rsid w:val="00521B82"/>
    <w:rsid w:val="00522658"/>
    <w:rsid w:val="00522B22"/>
    <w:rsid w:val="00523A44"/>
    <w:rsid w:val="00524660"/>
    <w:rsid w:val="00524708"/>
    <w:rsid w:val="00525D9D"/>
    <w:rsid w:val="00525E53"/>
    <w:rsid w:val="00526E26"/>
    <w:rsid w:val="00530E1B"/>
    <w:rsid w:val="0053110A"/>
    <w:rsid w:val="00531653"/>
    <w:rsid w:val="00531C65"/>
    <w:rsid w:val="0053282C"/>
    <w:rsid w:val="00532C6A"/>
    <w:rsid w:val="0053520C"/>
    <w:rsid w:val="005352F3"/>
    <w:rsid w:val="00537745"/>
    <w:rsid w:val="00537CBF"/>
    <w:rsid w:val="00537FFB"/>
    <w:rsid w:val="00540683"/>
    <w:rsid w:val="00540E67"/>
    <w:rsid w:val="0054181B"/>
    <w:rsid w:val="00541ED4"/>
    <w:rsid w:val="005424CA"/>
    <w:rsid w:val="00543E39"/>
    <w:rsid w:val="00543E92"/>
    <w:rsid w:val="005440BB"/>
    <w:rsid w:val="005445E5"/>
    <w:rsid w:val="00545DEB"/>
    <w:rsid w:val="005467B1"/>
    <w:rsid w:val="00546980"/>
    <w:rsid w:val="005474F9"/>
    <w:rsid w:val="0055031E"/>
    <w:rsid w:val="00551A02"/>
    <w:rsid w:val="00551A53"/>
    <w:rsid w:val="00551C37"/>
    <w:rsid w:val="00552465"/>
    <w:rsid w:val="00553D03"/>
    <w:rsid w:val="00555808"/>
    <w:rsid w:val="00556D76"/>
    <w:rsid w:val="00557592"/>
    <w:rsid w:val="00560662"/>
    <w:rsid w:val="00562544"/>
    <w:rsid w:val="00564601"/>
    <w:rsid w:val="00565822"/>
    <w:rsid w:val="00565EEE"/>
    <w:rsid w:val="0056664A"/>
    <w:rsid w:val="00566A58"/>
    <w:rsid w:val="00571A78"/>
    <w:rsid w:val="005721A2"/>
    <w:rsid w:val="00572397"/>
    <w:rsid w:val="0057486D"/>
    <w:rsid w:val="005754D1"/>
    <w:rsid w:val="0057586A"/>
    <w:rsid w:val="00576302"/>
    <w:rsid w:val="0057634B"/>
    <w:rsid w:val="00576A03"/>
    <w:rsid w:val="0057731A"/>
    <w:rsid w:val="00577373"/>
    <w:rsid w:val="0058071D"/>
    <w:rsid w:val="005808D1"/>
    <w:rsid w:val="00580EB3"/>
    <w:rsid w:val="00581249"/>
    <w:rsid w:val="005826E1"/>
    <w:rsid w:val="0058580C"/>
    <w:rsid w:val="00590D6F"/>
    <w:rsid w:val="00591B48"/>
    <w:rsid w:val="00592934"/>
    <w:rsid w:val="00592B2B"/>
    <w:rsid w:val="00593588"/>
    <w:rsid w:val="00593884"/>
    <w:rsid w:val="005944CC"/>
    <w:rsid w:val="005953EC"/>
    <w:rsid w:val="00596772"/>
    <w:rsid w:val="00596CDF"/>
    <w:rsid w:val="00596FDF"/>
    <w:rsid w:val="00597754"/>
    <w:rsid w:val="005A0A8A"/>
    <w:rsid w:val="005A0D48"/>
    <w:rsid w:val="005A10A2"/>
    <w:rsid w:val="005A1D59"/>
    <w:rsid w:val="005A2412"/>
    <w:rsid w:val="005A2636"/>
    <w:rsid w:val="005A291E"/>
    <w:rsid w:val="005A3D63"/>
    <w:rsid w:val="005A44A6"/>
    <w:rsid w:val="005A63FF"/>
    <w:rsid w:val="005A6EAB"/>
    <w:rsid w:val="005A7ECA"/>
    <w:rsid w:val="005B0220"/>
    <w:rsid w:val="005B0F41"/>
    <w:rsid w:val="005B330F"/>
    <w:rsid w:val="005B479F"/>
    <w:rsid w:val="005B4887"/>
    <w:rsid w:val="005B6272"/>
    <w:rsid w:val="005B62D8"/>
    <w:rsid w:val="005B6B25"/>
    <w:rsid w:val="005B6D5B"/>
    <w:rsid w:val="005B7152"/>
    <w:rsid w:val="005C1071"/>
    <w:rsid w:val="005C1FB9"/>
    <w:rsid w:val="005C3394"/>
    <w:rsid w:val="005C3600"/>
    <w:rsid w:val="005C431D"/>
    <w:rsid w:val="005C435F"/>
    <w:rsid w:val="005C4374"/>
    <w:rsid w:val="005C452E"/>
    <w:rsid w:val="005C6028"/>
    <w:rsid w:val="005C63C6"/>
    <w:rsid w:val="005D2CEC"/>
    <w:rsid w:val="005D4855"/>
    <w:rsid w:val="005D54B0"/>
    <w:rsid w:val="005D5A7C"/>
    <w:rsid w:val="005D6F6D"/>
    <w:rsid w:val="005E067B"/>
    <w:rsid w:val="005E0F32"/>
    <w:rsid w:val="005E1901"/>
    <w:rsid w:val="005E1A61"/>
    <w:rsid w:val="005E35A1"/>
    <w:rsid w:val="005E3C17"/>
    <w:rsid w:val="005E46ED"/>
    <w:rsid w:val="005E5CCA"/>
    <w:rsid w:val="005E6693"/>
    <w:rsid w:val="005E6F16"/>
    <w:rsid w:val="005E71F8"/>
    <w:rsid w:val="005E72A8"/>
    <w:rsid w:val="005E7D48"/>
    <w:rsid w:val="005F0EE0"/>
    <w:rsid w:val="005F1909"/>
    <w:rsid w:val="005F2BE3"/>
    <w:rsid w:val="005F2C4D"/>
    <w:rsid w:val="005F4EDC"/>
    <w:rsid w:val="005F5029"/>
    <w:rsid w:val="005F5951"/>
    <w:rsid w:val="005F61D6"/>
    <w:rsid w:val="005F696A"/>
    <w:rsid w:val="005F6F46"/>
    <w:rsid w:val="005F7343"/>
    <w:rsid w:val="005F7508"/>
    <w:rsid w:val="005F7BAB"/>
    <w:rsid w:val="00600EB5"/>
    <w:rsid w:val="0060151D"/>
    <w:rsid w:val="00602192"/>
    <w:rsid w:val="006036E0"/>
    <w:rsid w:val="00603C54"/>
    <w:rsid w:val="00605EFE"/>
    <w:rsid w:val="006062C2"/>
    <w:rsid w:val="00607089"/>
    <w:rsid w:val="00610583"/>
    <w:rsid w:val="00611244"/>
    <w:rsid w:val="006114C6"/>
    <w:rsid w:val="00612D7D"/>
    <w:rsid w:val="00613C01"/>
    <w:rsid w:val="00613D2D"/>
    <w:rsid w:val="00613F59"/>
    <w:rsid w:val="00613FE5"/>
    <w:rsid w:val="00616116"/>
    <w:rsid w:val="006163BD"/>
    <w:rsid w:val="006163C8"/>
    <w:rsid w:val="006168A2"/>
    <w:rsid w:val="006177AB"/>
    <w:rsid w:val="00617B28"/>
    <w:rsid w:val="0062027A"/>
    <w:rsid w:val="006205DE"/>
    <w:rsid w:val="0062327C"/>
    <w:rsid w:val="006251D5"/>
    <w:rsid w:val="006257F0"/>
    <w:rsid w:val="00625B16"/>
    <w:rsid w:val="00625C3A"/>
    <w:rsid w:val="00625C7B"/>
    <w:rsid w:val="0062680F"/>
    <w:rsid w:val="00626A3C"/>
    <w:rsid w:val="00631282"/>
    <w:rsid w:val="006319A6"/>
    <w:rsid w:val="00633B90"/>
    <w:rsid w:val="00634B1B"/>
    <w:rsid w:val="006352DC"/>
    <w:rsid w:val="006354DC"/>
    <w:rsid w:val="006362AF"/>
    <w:rsid w:val="00636EF4"/>
    <w:rsid w:val="00640E01"/>
    <w:rsid w:val="006417D5"/>
    <w:rsid w:val="00641B69"/>
    <w:rsid w:val="00641C7A"/>
    <w:rsid w:val="006425D6"/>
    <w:rsid w:val="00643464"/>
    <w:rsid w:val="006436C9"/>
    <w:rsid w:val="00644AEC"/>
    <w:rsid w:val="00644D77"/>
    <w:rsid w:val="006455F9"/>
    <w:rsid w:val="00645D2E"/>
    <w:rsid w:val="00646F45"/>
    <w:rsid w:val="006472EA"/>
    <w:rsid w:val="00647765"/>
    <w:rsid w:val="006501BD"/>
    <w:rsid w:val="00651BA4"/>
    <w:rsid w:val="00652649"/>
    <w:rsid w:val="0065472D"/>
    <w:rsid w:val="00654F8E"/>
    <w:rsid w:val="00655436"/>
    <w:rsid w:val="00656264"/>
    <w:rsid w:val="00657A22"/>
    <w:rsid w:val="00657CA1"/>
    <w:rsid w:val="0066095F"/>
    <w:rsid w:val="00660FF0"/>
    <w:rsid w:val="0066192B"/>
    <w:rsid w:val="00663567"/>
    <w:rsid w:val="00664449"/>
    <w:rsid w:val="00664A42"/>
    <w:rsid w:val="00665190"/>
    <w:rsid w:val="00666288"/>
    <w:rsid w:val="006668AC"/>
    <w:rsid w:val="006670CB"/>
    <w:rsid w:val="006677F6"/>
    <w:rsid w:val="006712B1"/>
    <w:rsid w:val="006729FA"/>
    <w:rsid w:val="006733B7"/>
    <w:rsid w:val="00674C31"/>
    <w:rsid w:val="00674F67"/>
    <w:rsid w:val="00675229"/>
    <w:rsid w:val="00676E4C"/>
    <w:rsid w:val="006816F0"/>
    <w:rsid w:val="00681F34"/>
    <w:rsid w:val="006823C7"/>
    <w:rsid w:val="00682E35"/>
    <w:rsid w:val="00682E50"/>
    <w:rsid w:val="006833FD"/>
    <w:rsid w:val="00684029"/>
    <w:rsid w:val="006854BC"/>
    <w:rsid w:val="006855CC"/>
    <w:rsid w:val="00685FBF"/>
    <w:rsid w:val="00687A03"/>
    <w:rsid w:val="006906B2"/>
    <w:rsid w:val="00691358"/>
    <w:rsid w:val="0069259F"/>
    <w:rsid w:val="00694FF6"/>
    <w:rsid w:val="0069540B"/>
    <w:rsid w:val="00695BBF"/>
    <w:rsid w:val="0069614D"/>
    <w:rsid w:val="006A054F"/>
    <w:rsid w:val="006A06BB"/>
    <w:rsid w:val="006A0FE4"/>
    <w:rsid w:val="006A1319"/>
    <w:rsid w:val="006A2478"/>
    <w:rsid w:val="006A3AF4"/>
    <w:rsid w:val="006A4118"/>
    <w:rsid w:val="006A4331"/>
    <w:rsid w:val="006A6349"/>
    <w:rsid w:val="006A6FDE"/>
    <w:rsid w:val="006A7AE0"/>
    <w:rsid w:val="006B0B23"/>
    <w:rsid w:val="006B0DE1"/>
    <w:rsid w:val="006B1377"/>
    <w:rsid w:val="006B171E"/>
    <w:rsid w:val="006B1AA5"/>
    <w:rsid w:val="006B1CE0"/>
    <w:rsid w:val="006B2AE7"/>
    <w:rsid w:val="006B361E"/>
    <w:rsid w:val="006B4986"/>
    <w:rsid w:val="006B4F86"/>
    <w:rsid w:val="006B51BA"/>
    <w:rsid w:val="006B5D32"/>
    <w:rsid w:val="006B62E7"/>
    <w:rsid w:val="006B63EB"/>
    <w:rsid w:val="006B6D16"/>
    <w:rsid w:val="006B7209"/>
    <w:rsid w:val="006C08CF"/>
    <w:rsid w:val="006C0942"/>
    <w:rsid w:val="006C213A"/>
    <w:rsid w:val="006C24CC"/>
    <w:rsid w:val="006C46FE"/>
    <w:rsid w:val="006C5213"/>
    <w:rsid w:val="006C6898"/>
    <w:rsid w:val="006C74B6"/>
    <w:rsid w:val="006C7806"/>
    <w:rsid w:val="006D061A"/>
    <w:rsid w:val="006D08DF"/>
    <w:rsid w:val="006D2606"/>
    <w:rsid w:val="006D26D2"/>
    <w:rsid w:val="006D2FE4"/>
    <w:rsid w:val="006D304F"/>
    <w:rsid w:val="006D3191"/>
    <w:rsid w:val="006D3501"/>
    <w:rsid w:val="006D3D60"/>
    <w:rsid w:val="006D4322"/>
    <w:rsid w:val="006D4DFC"/>
    <w:rsid w:val="006D552C"/>
    <w:rsid w:val="006D7218"/>
    <w:rsid w:val="006D77C2"/>
    <w:rsid w:val="006D7CF6"/>
    <w:rsid w:val="006E151F"/>
    <w:rsid w:val="006E1EE8"/>
    <w:rsid w:val="006E288C"/>
    <w:rsid w:val="006E4064"/>
    <w:rsid w:val="006E4B0A"/>
    <w:rsid w:val="006E509F"/>
    <w:rsid w:val="006E541A"/>
    <w:rsid w:val="006E56DE"/>
    <w:rsid w:val="006E6A71"/>
    <w:rsid w:val="006E7FD2"/>
    <w:rsid w:val="006F1857"/>
    <w:rsid w:val="006F1998"/>
    <w:rsid w:val="006F1B6F"/>
    <w:rsid w:val="006F24AE"/>
    <w:rsid w:val="006F2540"/>
    <w:rsid w:val="006F2AE9"/>
    <w:rsid w:val="006F336C"/>
    <w:rsid w:val="006F351B"/>
    <w:rsid w:val="006F4572"/>
    <w:rsid w:val="006F534D"/>
    <w:rsid w:val="006F65E3"/>
    <w:rsid w:val="006F7318"/>
    <w:rsid w:val="006F7A88"/>
    <w:rsid w:val="00702948"/>
    <w:rsid w:val="00702ABC"/>
    <w:rsid w:val="00702F71"/>
    <w:rsid w:val="007036E5"/>
    <w:rsid w:val="0070393F"/>
    <w:rsid w:val="00704024"/>
    <w:rsid w:val="00704B2B"/>
    <w:rsid w:val="00705A3F"/>
    <w:rsid w:val="00706985"/>
    <w:rsid w:val="00707901"/>
    <w:rsid w:val="00707B2B"/>
    <w:rsid w:val="007100DA"/>
    <w:rsid w:val="00710403"/>
    <w:rsid w:val="00710554"/>
    <w:rsid w:val="00710AB4"/>
    <w:rsid w:val="007149BD"/>
    <w:rsid w:val="00714BAC"/>
    <w:rsid w:val="00715EA3"/>
    <w:rsid w:val="00715F3A"/>
    <w:rsid w:val="0071659A"/>
    <w:rsid w:val="00716B68"/>
    <w:rsid w:val="00716BC3"/>
    <w:rsid w:val="0072238B"/>
    <w:rsid w:val="007229D2"/>
    <w:rsid w:val="00723EAC"/>
    <w:rsid w:val="00724D42"/>
    <w:rsid w:val="00724F02"/>
    <w:rsid w:val="0072501E"/>
    <w:rsid w:val="00725F0C"/>
    <w:rsid w:val="00726A55"/>
    <w:rsid w:val="007274A9"/>
    <w:rsid w:val="00727C93"/>
    <w:rsid w:val="00730D46"/>
    <w:rsid w:val="0073151D"/>
    <w:rsid w:val="0073202E"/>
    <w:rsid w:val="007320A1"/>
    <w:rsid w:val="0073299B"/>
    <w:rsid w:val="0073365E"/>
    <w:rsid w:val="00734C8E"/>
    <w:rsid w:val="00734EED"/>
    <w:rsid w:val="00736C4C"/>
    <w:rsid w:val="00737205"/>
    <w:rsid w:val="00737577"/>
    <w:rsid w:val="007377EB"/>
    <w:rsid w:val="00742391"/>
    <w:rsid w:val="0074279D"/>
    <w:rsid w:val="00743638"/>
    <w:rsid w:val="007437FF"/>
    <w:rsid w:val="00744221"/>
    <w:rsid w:val="00746067"/>
    <w:rsid w:val="0074608B"/>
    <w:rsid w:val="00746862"/>
    <w:rsid w:val="0075066E"/>
    <w:rsid w:val="007511D2"/>
    <w:rsid w:val="00751419"/>
    <w:rsid w:val="0075234F"/>
    <w:rsid w:val="00752994"/>
    <w:rsid w:val="00754E0D"/>
    <w:rsid w:val="00754E46"/>
    <w:rsid w:val="00755C75"/>
    <w:rsid w:val="00756116"/>
    <w:rsid w:val="00756D7C"/>
    <w:rsid w:val="00757B30"/>
    <w:rsid w:val="00757F9D"/>
    <w:rsid w:val="007601EB"/>
    <w:rsid w:val="00761596"/>
    <w:rsid w:val="00761923"/>
    <w:rsid w:val="00763460"/>
    <w:rsid w:val="007662AE"/>
    <w:rsid w:val="007662C6"/>
    <w:rsid w:val="00766B82"/>
    <w:rsid w:val="00767EBA"/>
    <w:rsid w:val="007713D8"/>
    <w:rsid w:val="00773F48"/>
    <w:rsid w:val="00774698"/>
    <w:rsid w:val="00775230"/>
    <w:rsid w:val="00776412"/>
    <w:rsid w:val="00776EF4"/>
    <w:rsid w:val="00777053"/>
    <w:rsid w:val="00777DB4"/>
    <w:rsid w:val="007809BC"/>
    <w:rsid w:val="00780C9F"/>
    <w:rsid w:val="00781595"/>
    <w:rsid w:val="00781C7F"/>
    <w:rsid w:val="007831B1"/>
    <w:rsid w:val="007838D5"/>
    <w:rsid w:val="007854D0"/>
    <w:rsid w:val="007855F8"/>
    <w:rsid w:val="00786649"/>
    <w:rsid w:val="00786ACD"/>
    <w:rsid w:val="00787418"/>
    <w:rsid w:val="0078761E"/>
    <w:rsid w:val="007909AC"/>
    <w:rsid w:val="00791127"/>
    <w:rsid w:val="0079116E"/>
    <w:rsid w:val="0079293A"/>
    <w:rsid w:val="007931DF"/>
    <w:rsid w:val="00793375"/>
    <w:rsid w:val="00793671"/>
    <w:rsid w:val="00793AE0"/>
    <w:rsid w:val="00794DE2"/>
    <w:rsid w:val="00794E56"/>
    <w:rsid w:val="007A037B"/>
    <w:rsid w:val="007A0E5D"/>
    <w:rsid w:val="007A181F"/>
    <w:rsid w:val="007A189F"/>
    <w:rsid w:val="007A2BAA"/>
    <w:rsid w:val="007A36AA"/>
    <w:rsid w:val="007A3E18"/>
    <w:rsid w:val="007A4518"/>
    <w:rsid w:val="007A451E"/>
    <w:rsid w:val="007A5F43"/>
    <w:rsid w:val="007A64E6"/>
    <w:rsid w:val="007A6C73"/>
    <w:rsid w:val="007A6F62"/>
    <w:rsid w:val="007B1047"/>
    <w:rsid w:val="007B110B"/>
    <w:rsid w:val="007B1700"/>
    <w:rsid w:val="007B1AFF"/>
    <w:rsid w:val="007B1F35"/>
    <w:rsid w:val="007B2A4E"/>
    <w:rsid w:val="007B2BEC"/>
    <w:rsid w:val="007B3D6E"/>
    <w:rsid w:val="007B42B1"/>
    <w:rsid w:val="007B4541"/>
    <w:rsid w:val="007B45FF"/>
    <w:rsid w:val="007B544F"/>
    <w:rsid w:val="007B6B4A"/>
    <w:rsid w:val="007B75E5"/>
    <w:rsid w:val="007C1D37"/>
    <w:rsid w:val="007C2C17"/>
    <w:rsid w:val="007C3095"/>
    <w:rsid w:val="007C39B0"/>
    <w:rsid w:val="007C4376"/>
    <w:rsid w:val="007C58BB"/>
    <w:rsid w:val="007C60B3"/>
    <w:rsid w:val="007C756F"/>
    <w:rsid w:val="007D00ED"/>
    <w:rsid w:val="007D09BA"/>
    <w:rsid w:val="007D19BB"/>
    <w:rsid w:val="007D1CD3"/>
    <w:rsid w:val="007D2B0C"/>
    <w:rsid w:val="007D2F1B"/>
    <w:rsid w:val="007D688D"/>
    <w:rsid w:val="007E0393"/>
    <w:rsid w:val="007E150A"/>
    <w:rsid w:val="007E1981"/>
    <w:rsid w:val="007E4030"/>
    <w:rsid w:val="007E5CA2"/>
    <w:rsid w:val="007E6A67"/>
    <w:rsid w:val="007E780B"/>
    <w:rsid w:val="007E7B0A"/>
    <w:rsid w:val="007F075F"/>
    <w:rsid w:val="007F30C0"/>
    <w:rsid w:val="007F30CE"/>
    <w:rsid w:val="007F587C"/>
    <w:rsid w:val="008005A7"/>
    <w:rsid w:val="008005B1"/>
    <w:rsid w:val="008012B5"/>
    <w:rsid w:val="00801C32"/>
    <w:rsid w:val="00801FD0"/>
    <w:rsid w:val="008025D0"/>
    <w:rsid w:val="00804BF2"/>
    <w:rsid w:val="00804CC5"/>
    <w:rsid w:val="00805ED6"/>
    <w:rsid w:val="00806634"/>
    <w:rsid w:val="008075DC"/>
    <w:rsid w:val="008076FE"/>
    <w:rsid w:val="00810168"/>
    <w:rsid w:val="00810E58"/>
    <w:rsid w:val="008111C6"/>
    <w:rsid w:val="00814155"/>
    <w:rsid w:val="008149E9"/>
    <w:rsid w:val="008203ED"/>
    <w:rsid w:val="0082084E"/>
    <w:rsid w:val="00820E4A"/>
    <w:rsid w:val="008212DF"/>
    <w:rsid w:val="00822D84"/>
    <w:rsid w:val="00822F04"/>
    <w:rsid w:val="00823627"/>
    <w:rsid w:val="008237E8"/>
    <w:rsid w:val="0082534E"/>
    <w:rsid w:val="008255FB"/>
    <w:rsid w:val="00826465"/>
    <w:rsid w:val="008268FF"/>
    <w:rsid w:val="00827DA9"/>
    <w:rsid w:val="00830271"/>
    <w:rsid w:val="008306A6"/>
    <w:rsid w:val="008321E3"/>
    <w:rsid w:val="00832E0D"/>
    <w:rsid w:val="008341A4"/>
    <w:rsid w:val="00835CEF"/>
    <w:rsid w:val="0083731D"/>
    <w:rsid w:val="00837DBB"/>
    <w:rsid w:val="0084032C"/>
    <w:rsid w:val="00840712"/>
    <w:rsid w:val="00840E61"/>
    <w:rsid w:val="00841127"/>
    <w:rsid w:val="00841596"/>
    <w:rsid w:val="0084286D"/>
    <w:rsid w:val="00842B61"/>
    <w:rsid w:val="00844104"/>
    <w:rsid w:val="0084412F"/>
    <w:rsid w:val="00844F01"/>
    <w:rsid w:val="00844F2E"/>
    <w:rsid w:val="0084640E"/>
    <w:rsid w:val="00846500"/>
    <w:rsid w:val="00846B1F"/>
    <w:rsid w:val="008470F5"/>
    <w:rsid w:val="008501CD"/>
    <w:rsid w:val="00850C94"/>
    <w:rsid w:val="00851201"/>
    <w:rsid w:val="008513D8"/>
    <w:rsid w:val="00852051"/>
    <w:rsid w:val="00852583"/>
    <w:rsid w:val="00852D3E"/>
    <w:rsid w:val="00853808"/>
    <w:rsid w:val="00853838"/>
    <w:rsid w:val="00853852"/>
    <w:rsid w:val="00853BB7"/>
    <w:rsid w:val="00853E5E"/>
    <w:rsid w:val="008557B0"/>
    <w:rsid w:val="008566C1"/>
    <w:rsid w:val="00857A82"/>
    <w:rsid w:val="00860A6B"/>
    <w:rsid w:val="00860B39"/>
    <w:rsid w:val="00862380"/>
    <w:rsid w:val="0086277D"/>
    <w:rsid w:val="00862821"/>
    <w:rsid w:val="00862C32"/>
    <w:rsid w:val="0086387E"/>
    <w:rsid w:val="00863F7F"/>
    <w:rsid w:val="00864076"/>
    <w:rsid w:val="00864377"/>
    <w:rsid w:val="00864892"/>
    <w:rsid w:val="00865625"/>
    <w:rsid w:val="008664B1"/>
    <w:rsid w:val="00867813"/>
    <w:rsid w:val="00870192"/>
    <w:rsid w:val="008704C0"/>
    <w:rsid w:val="00871474"/>
    <w:rsid w:val="008714DB"/>
    <w:rsid w:val="0087165E"/>
    <w:rsid w:val="00873065"/>
    <w:rsid w:val="008759DE"/>
    <w:rsid w:val="00875C29"/>
    <w:rsid w:val="00876E2D"/>
    <w:rsid w:val="00880E5C"/>
    <w:rsid w:val="00881EA2"/>
    <w:rsid w:val="008824AF"/>
    <w:rsid w:val="00882D35"/>
    <w:rsid w:val="00883473"/>
    <w:rsid w:val="00883AFF"/>
    <w:rsid w:val="00883D1E"/>
    <w:rsid w:val="00883DBB"/>
    <w:rsid w:val="00885114"/>
    <w:rsid w:val="0088582E"/>
    <w:rsid w:val="00886B39"/>
    <w:rsid w:val="00887CB9"/>
    <w:rsid w:val="00890538"/>
    <w:rsid w:val="0089108F"/>
    <w:rsid w:val="008934EF"/>
    <w:rsid w:val="0089474C"/>
    <w:rsid w:val="00895736"/>
    <w:rsid w:val="008961F0"/>
    <w:rsid w:val="00896361"/>
    <w:rsid w:val="0089697C"/>
    <w:rsid w:val="00896DA5"/>
    <w:rsid w:val="008A0E76"/>
    <w:rsid w:val="008A17C5"/>
    <w:rsid w:val="008A1D9E"/>
    <w:rsid w:val="008A2493"/>
    <w:rsid w:val="008A2A10"/>
    <w:rsid w:val="008A2B5E"/>
    <w:rsid w:val="008A4579"/>
    <w:rsid w:val="008A5198"/>
    <w:rsid w:val="008A56D5"/>
    <w:rsid w:val="008A60D0"/>
    <w:rsid w:val="008B2C92"/>
    <w:rsid w:val="008B6124"/>
    <w:rsid w:val="008B7513"/>
    <w:rsid w:val="008B774B"/>
    <w:rsid w:val="008B7DF6"/>
    <w:rsid w:val="008C115A"/>
    <w:rsid w:val="008C1E85"/>
    <w:rsid w:val="008C353A"/>
    <w:rsid w:val="008C47AD"/>
    <w:rsid w:val="008C4E1B"/>
    <w:rsid w:val="008C75F3"/>
    <w:rsid w:val="008C7B32"/>
    <w:rsid w:val="008D2D12"/>
    <w:rsid w:val="008D3B9D"/>
    <w:rsid w:val="008D3FFE"/>
    <w:rsid w:val="008D43FE"/>
    <w:rsid w:val="008D4EE0"/>
    <w:rsid w:val="008D5E57"/>
    <w:rsid w:val="008D6448"/>
    <w:rsid w:val="008E0675"/>
    <w:rsid w:val="008E213F"/>
    <w:rsid w:val="008E2B0E"/>
    <w:rsid w:val="008E2C1E"/>
    <w:rsid w:val="008E3569"/>
    <w:rsid w:val="008E3AE3"/>
    <w:rsid w:val="008E3F65"/>
    <w:rsid w:val="008E4035"/>
    <w:rsid w:val="008E687D"/>
    <w:rsid w:val="008E793D"/>
    <w:rsid w:val="008E79E9"/>
    <w:rsid w:val="008F028E"/>
    <w:rsid w:val="008F07F5"/>
    <w:rsid w:val="008F0899"/>
    <w:rsid w:val="008F097D"/>
    <w:rsid w:val="008F0E5E"/>
    <w:rsid w:val="008F0F74"/>
    <w:rsid w:val="008F13D5"/>
    <w:rsid w:val="008F1B34"/>
    <w:rsid w:val="008F1E9C"/>
    <w:rsid w:val="008F1EFA"/>
    <w:rsid w:val="008F1F90"/>
    <w:rsid w:val="008F2F54"/>
    <w:rsid w:val="008F3C8B"/>
    <w:rsid w:val="008F5E93"/>
    <w:rsid w:val="008F60A9"/>
    <w:rsid w:val="008F6A0C"/>
    <w:rsid w:val="0090054D"/>
    <w:rsid w:val="00902282"/>
    <w:rsid w:val="00902870"/>
    <w:rsid w:val="00902E37"/>
    <w:rsid w:val="00902F78"/>
    <w:rsid w:val="0090384B"/>
    <w:rsid w:val="00904CAB"/>
    <w:rsid w:val="00904DE1"/>
    <w:rsid w:val="0090514F"/>
    <w:rsid w:val="00906C78"/>
    <w:rsid w:val="009071E1"/>
    <w:rsid w:val="0090776F"/>
    <w:rsid w:val="00910CF6"/>
    <w:rsid w:val="00912B4C"/>
    <w:rsid w:val="009133AD"/>
    <w:rsid w:val="00913787"/>
    <w:rsid w:val="009137FE"/>
    <w:rsid w:val="00915962"/>
    <w:rsid w:val="00917115"/>
    <w:rsid w:val="00917D11"/>
    <w:rsid w:val="00920720"/>
    <w:rsid w:val="00920AD7"/>
    <w:rsid w:val="009210BC"/>
    <w:rsid w:val="00921453"/>
    <w:rsid w:val="009216DF"/>
    <w:rsid w:val="00921900"/>
    <w:rsid w:val="009219B9"/>
    <w:rsid w:val="00921BC7"/>
    <w:rsid w:val="00922941"/>
    <w:rsid w:val="009232A9"/>
    <w:rsid w:val="00923B54"/>
    <w:rsid w:val="00924993"/>
    <w:rsid w:val="00924AD9"/>
    <w:rsid w:val="00924EEA"/>
    <w:rsid w:val="00926183"/>
    <w:rsid w:val="00926349"/>
    <w:rsid w:val="009267EF"/>
    <w:rsid w:val="0092731B"/>
    <w:rsid w:val="00930A4F"/>
    <w:rsid w:val="009337FE"/>
    <w:rsid w:val="00934B33"/>
    <w:rsid w:val="009357E3"/>
    <w:rsid w:val="00935F50"/>
    <w:rsid w:val="009364A9"/>
    <w:rsid w:val="00936FBF"/>
    <w:rsid w:val="009372AA"/>
    <w:rsid w:val="009376DC"/>
    <w:rsid w:val="00937E17"/>
    <w:rsid w:val="00940113"/>
    <w:rsid w:val="00940B1B"/>
    <w:rsid w:val="009411AD"/>
    <w:rsid w:val="00945B34"/>
    <w:rsid w:val="009474EB"/>
    <w:rsid w:val="0094778C"/>
    <w:rsid w:val="00947E8C"/>
    <w:rsid w:val="00950805"/>
    <w:rsid w:val="00950F6C"/>
    <w:rsid w:val="0095135A"/>
    <w:rsid w:val="009517A8"/>
    <w:rsid w:val="0095237E"/>
    <w:rsid w:val="009524A9"/>
    <w:rsid w:val="009536E6"/>
    <w:rsid w:val="009548FC"/>
    <w:rsid w:val="00955633"/>
    <w:rsid w:val="0095604C"/>
    <w:rsid w:val="00956676"/>
    <w:rsid w:val="00957E8F"/>
    <w:rsid w:val="009615EA"/>
    <w:rsid w:val="00965BC6"/>
    <w:rsid w:val="00965C0A"/>
    <w:rsid w:val="0096696A"/>
    <w:rsid w:val="0096777E"/>
    <w:rsid w:val="00970533"/>
    <w:rsid w:val="00970CE7"/>
    <w:rsid w:val="00971F21"/>
    <w:rsid w:val="0097234F"/>
    <w:rsid w:val="009737CD"/>
    <w:rsid w:val="00975706"/>
    <w:rsid w:val="00975B4F"/>
    <w:rsid w:val="00975FA6"/>
    <w:rsid w:val="0097720F"/>
    <w:rsid w:val="00980B2A"/>
    <w:rsid w:val="00981D33"/>
    <w:rsid w:val="0098241D"/>
    <w:rsid w:val="009836B7"/>
    <w:rsid w:val="00984BCA"/>
    <w:rsid w:val="009853B4"/>
    <w:rsid w:val="0098551C"/>
    <w:rsid w:val="0098558C"/>
    <w:rsid w:val="00986878"/>
    <w:rsid w:val="00986CC1"/>
    <w:rsid w:val="00987D90"/>
    <w:rsid w:val="00990024"/>
    <w:rsid w:val="00990ACC"/>
    <w:rsid w:val="00990D71"/>
    <w:rsid w:val="00990FEA"/>
    <w:rsid w:val="009913F6"/>
    <w:rsid w:val="00991816"/>
    <w:rsid w:val="00991C41"/>
    <w:rsid w:val="00993B5D"/>
    <w:rsid w:val="00995810"/>
    <w:rsid w:val="00996CD8"/>
    <w:rsid w:val="009971CC"/>
    <w:rsid w:val="00997587"/>
    <w:rsid w:val="009A1551"/>
    <w:rsid w:val="009A24B5"/>
    <w:rsid w:val="009A2B13"/>
    <w:rsid w:val="009A5EBA"/>
    <w:rsid w:val="009A64CC"/>
    <w:rsid w:val="009A650D"/>
    <w:rsid w:val="009A73A4"/>
    <w:rsid w:val="009B0B2A"/>
    <w:rsid w:val="009B1470"/>
    <w:rsid w:val="009B16E6"/>
    <w:rsid w:val="009B468E"/>
    <w:rsid w:val="009B4ADB"/>
    <w:rsid w:val="009B4DEF"/>
    <w:rsid w:val="009B58F1"/>
    <w:rsid w:val="009B5E99"/>
    <w:rsid w:val="009B68EC"/>
    <w:rsid w:val="009C0F6A"/>
    <w:rsid w:val="009C1679"/>
    <w:rsid w:val="009C3B6B"/>
    <w:rsid w:val="009C491E"/>
    <w:rsid w:val="009C5371"/>
    <w:rsid w:val="009C5E19"/>
    <w:rsid w:val="009C60DA"/>
    <w:rsid w:val="009C6873"/>
    <w:rsid w:val="009C6AB9"/>
    <w:rsid w:val="009D0489"/>
    <w:rsid w:val="009D1878"/>
    <w:rsid w:val="009D192B"/>
    <w:rsid w:val="009D1FA1"/>
    <w:rsid w:val="009D2AC9"/>
    <w:rsid w:val="009D50F6"/>
    <w:rsid w:val="009D57CB"/>
    <w:rsid w:val="009D5AC3"/>
    <w:rsid w:val="009D733C"/>
    <w:rsid w:val="009D7FAD"/>
    <w:rsid w:val="009E08AA"/>
    <w:rsid w:val="009E3225"/>
    <w:rsid w:val="009E35D8"/>
    <w:rsid w:val="009E5545"/>
    <w:rsid w:val="009E63BC"/>
    <w:rsid w:val="009E6743"/>
    <w:rsid w:val="009E680D"/>
    <w:rsid w:val="009E6A85"/>
    <w:rsid w:val="009E7612"/>
    <w:rsid w:val="009F05D9"/>
    <w:rsid w:val="009F19CB"/>
    <w:rsid w:val="009F2C2C"/>
    <w:rsid w:val="009F3400"/>
    <w:rsid w:val="009F3556"/>
    <w:rsid w:val="009F487C"/>
    <w:rsid w:val="009F4FE8"/>
    <w:rsid w:val="009F5038"/>
    <w:rsid w:val="009F514D"/>
    <w:rsid w:val="009F58E5"/>
    <w:rsid w:val="009F59F2"/>
    <w:rsid w:val="009F5C62"/>
    <w:rsid w:val="009F5D1B"/>
    <w:rsid w:val="009F5F09"/>
    <w:rsid w:val="009F6308"/>
    <w:rsid w:val="009F6B4A"/>
    <w:rsid w:val="009F7A68"/>
    <w:rsid w:val="00A000DF"/>
    <w:rsid w:val="00A001F6"/>
    <w:rsid w:val="00A012BD"/>
    <w:rsid w:val="00A016C5"/>
    <w:rsid w:val="00A03E61"/>
    <w:rsid w:val="00A042FC"/>
    <w:rsid w:val="00A0493B"/>
    <w:rsid w:val="00A04C42"/>
    <w:rsid w:val="00A05743"/>
    <w:rsid w:val="00A05900"/>
    <w:rsid w:val="00A05F06"/>
    <w:rsid w:val="00A06A3A"/>
    <w:rsid w:val="00A06D44"/>
    <w:rsid w:val="00A07EAA"/>
    <w:rsid w:val="00A10631"/>
    <w:rsid w:val="00A11525"/>
    <w:rsid w:val="00A116B8"/>
    <w:rsid w:val="00A15392"/>
    <w:rsid w:val="00A1566A"/>
    <w:rsid w:val="00A15955"/>
    <w:rsid w:val="00A165DF"/>
    <w:rsid w:val="00A167A2"/>
    <w:rsid w:val="00A17B0A"/>
    <w:rsid w:val="00A17DA4"/>
    <w:rsid w:val="00A17DF7"/>
    <w:rsid w:val="00A2199B"/>
    <w:rsid w:val="00A219E6"/>
    <w:rsid w:val="00A224B2"/>
    <w:rsid w:val="00A22F18"/>
    <w:rsid w:val="00A233C9"/>
    <w:rsid w:val="00A2414A"/>
    <w:rsid w:val="00A24CDE"/>
    <w:rsid w:val="00A258D3"/>
    <w:rsid w:val="00A25AD0"/>
    <w:rsid w:val="00A2611D"/>
    <w:rsid w:val="00A268DF"/>
    <w:rsid w:val="00A26E0A"/>
    <w:rsid w:val="00A27FF1"/>
    <w:rsid w:val="00A3093A"/>
    <w:rsid w:val="00A30B86"/>
    <w:rsid w:val="00A31C76"/>
    <w:rsid w:val="00A326C0"/>
    <w:rsid w:val="00A33083"/>
    <w:rsid w:val="00A33E37"/>
    <w:rsid w:val="00A33F78"/>
    <w:rsid w:val="00A350B8"/>
    <w:rsid w:val="00A35CC7"/>
    <w:rsid w:val="00A400D3"/>
    <w:rsid w:val="00A4049D"/>
    <w:rsid w:val="00A405AA"/>
    <w:rsid w:val="00A43D81"/>
    <w:rsid w:val="00A44065"/>
    <w:rsid w:val="00A46337"/>
    <w:rsid w:val="00A503A6"/>
    <w:rsid w:val="00A51A1F"/>
    <w:rsid w:val="00A51E93"/>
    <w:rsid w:val="00A525F5"/>
    <w:rsid w:val="00A528E8"/>
    <w:rsid w:val="00A52C7D"/>
    <w:rsid w:val="00A531C7"/>
    <w:rsid w:val="00A538ED"/>
    <w:rsid w:val="00A53F6B"/>
    <w:rsid w:val="00A54863"/>
    <w:rsid w:val="00A605BF"/>
    <w:rsid w:val="00A641DE"/>
    <w:rsid w:val="00A64713"/>
    <w:rsid w:val="00A65050"/>
    <w:rsid w:val="00A6532B"/>
    <w:rsid w:val="00A65B70"/>
    <w:rsid w:val="00A65CE0"/>
    <w:rsid w:val="00A73198"/>
    <w:rsid w:val="00A73AD2"/>
    <w:rsid w:val="00A73FEB"/>
    <w:rsid w:val="00A749B1"/>
    <w:rsid w:val="00A74C87"/>
    <w:rsid w:val="00A75095"/>
    <w:rsid w:val="00A7536A"/>
    <w:rsid w:val="00A763DA"/>
    <w:rsid w:val="00A80195"/>
    <w:rsid w:val="00A81B63"/>
    <w:rsid w:val="00A830E5"/>
    <w:rsid w:val="00A8595E"/>
    <w:rsid w:val="00A85C22"/>
    <w:rsid w:val="00A86AA7"/>
    <w:rsid w:val="00A873B8"/>
    <w:rsid w:val="00A87741"/>
    <w:rsid w:val="00A90858"/>
    <w:rsid w:val="00A90945"/>
    <w:rsid w:val="00A917FE"/>
    <w:rsid w:val="00A92534"/>
    <w:rsid w:val="00A936F9"/>
    <w:rsid w:val="00A93872"/>
    <w:rsid w:val="00A93B13"/>
    <w:rsid w:val="00A94670"/>
    <w:rsid w:val="00A9476E"/>
    <w:rsid w:val="00A94982"/>
    <w:rsid w:val="00A96A7C"/>
    <w:rsid w:val="00AA0989"/>
    <w:rsid w:val="00AA0F92"/>
    <w:rsid w:val="00AA12E1"/>
    <w:rsid w:val="00AA20B9"/>
    <w:rsid w:val="00AA2653"/>
    <w:rsid w:val="00AA2AA1"/>
    <w:rsid w:val="00AA30EE"/>
    <w:rsid w:val="00AA3C29"/>
    <w:rsid w:val="00AA4E91"/>
    <w:rsid w:val="00AA5797"/>
    <w:rsid w:val="00AA59CD"/>
    <w:rsid w:val="00AA7DF4"/>
    <w:rsid w:val="00AB234C"/>
    <w:rsid w:val="00AB5136"/>
    <w:rsid w:val="00AB5BBF"/>
    <w:rsid w:val="00AB73E1"/>
    <w:rsid w:val="00AB7496"/>
    <w:rsid w:val="00AB75F0"/>
    <w:rsid w:val="00AC0DAD"/>
    <w:rsid w:val="00AC1049"/>
    <w:rsid w:val="00AC20CA"/>
    <w:rsid w:val="00AC4A11"/>
    <w:rsid w:val="00AC4EA4"/>
    <w:rsid w:val="00AC5A5B"/>
    <w:rsid w:val="00AC6DE3"/>
    <w:rsid w:val="00AC7E2A"/>
    <w:rsid w:val="00AD1483"/>
    <w:rsid w:val="00AD1682"/>
    <w:rsid w:val="00AD1BDF"/>
    <w:rsid w:val="00AD214C"/>
    <w:rsid w:val="00AD2295"/>
    <w:rsid w:val="00AD50DD"/>
    <w:rsid w:val="00AE1CF9"/>
    <w:rsid w:val="00AE26BB"/>
    <w:rsid w:val="00AE2B95"/>
    <w:rsid w:val="00AE3A1F"/>
    <w:rsid w:val="00AE3BF5"/>
    <w:rsid w:val="00AE4994"/>
    <w:rsid w:val="00AE593D"/>
    <w:rsid w:val="00AE61BB"/>
    <w:rsid w:val="00AE751D"/>
    <w:rsid w:val="00AE7AEB"/>
    <w:rsid w:val="00AF03D8"/>
    <w:rsid w:val="00AF0E56"/>
    <w:rsid w:val="00AF0FA2"/>
    <w:rsid w:val="00AF148A"/>
    <w:rsid w:val="00AF169F"/>
    <w:rsid w:val="00AF1C4E"/>
    <w:rsid w:val="00AF2FA0"/>
    <w:rsid w:val="00AF37BB"/>
    <w:rsid w:val="00AF39BE"/>
    <w:rsid w:val="00AF4E00"/>
    <w:rsid w:val="00AF4FD4"/>
    <w:rsid w:val="00AF5CCA"/>
    <w:rsid w:val="00AF5D7E"/>
    <w:rsid w:val="00AF6626"/>
    <w:rsid w:val="00AF7758"/>
    <w:rsid w:val="00AF788A"/>
    <w:rsid w:val="00B00BE0"/>
    <w:rsid w:val="00B00BEC"/>
    <w:rsid w:val="00B01024"/>
    <w:rsid w:val="00B01408"/>
    <w:rsid w:val="00B017CB"/>
    <w:rsid w:val="00B01CBA"/>
    <w:rsid w:val="00B030F6"/>
    <w:rsid w:val="00B03EF3"/>
    <w:rsid w:val="00B05038"/>
    <w:rsid w:val="00B05041"/>
    <w:rsid w:val="00B111C4"/>
    <w:rsid w:val="00B1154B"/>
    <w:rsid w:val="00B11635"/>
    <w:rsid w:val="00B123E2"/>
    <w:rsid w:val="00B12472"/>
    <w:rsid w:val="00B1394E"/>
    <w:rsid w:val="00B142A8"/>
    <w:rsid w:val="00B17365"/>
    <w:rsid w:val="00B17435"/>
    <w:rsid w:val="00B179DF"/>
    <w:rsid w:val="00B217B6"/>
    <w:rsid w:val="00B220A3"/>
    <w:rsid w:val="00B22193"/>
    <w:rsid w:val="00B22293"/>
    <w:rsid w:val="00B224B3"/>
    <w:rsid w:val="00B22ADD"/>
    <w:rsid w:val="00B22D15"/>
    <w:rsid w:val="00B22D3B"/>
    <w:rsid w:val="00B23475"/>
    <w:rsid w:val="00B24B35"/>
    <w:rsid w:val="00B24F17"/>
    <w:rsid w:val="00B24F60"/>
    <w:rsid w:val="00B3137C"/>
    <w:rsid w:val="00B3209B"/>
    <w:rsid w:val="00B32290"/>
    <w:rsid w:val="00B32811"/>
    <w:rsid w:val="00B33B9F"/>
    <w:rsid w:val="00B33DCB"/>
    <w:rsid w:val="00B35E59"/>
    <w:rsid w:val="00B367CA"/>
    <w:rsid w:val="00B37BAC"/>
    <w:rsid w:val="00B4006C"/>
    <w:rsid w:val="00B42383"/>
    <w:rsid w:val="00B426CB"/>
    <w:rsid w:val="00B4303E"/>
    <w:rsid w:val="00B4626C"/>
    <w:rsid w:val="00B46A1A"/>
    <w:rsid w:val="00B47A23"/>
    <w:rsid w:val="00B501AC"/>
    <w:rsid w:val="00B5090B"/>
    <w:rsid w:val="00B5322C"/>
    <w:rsid w:val="00B54B76"/>
    <w:rsid w:val="00B57AC0"/>
    <w:rsid w:val="00B61A23"/>
    <w:rsid w:val="00B621C7"/>
    <w:rsid w:val="00B64198"/>
    <w:rsid w:val="00B645A3"/>
    <w:rsid w:val="00B647F1"/>
    <w:rsid w:val="00B6537C"/>
    <w:rsid w:val="00B655BE"/>
    <w:rsid w:val="00B65ADA"/>
    <w:rsid w:val="00B65F17"/>
    <w:rsid w:val="00B66958"/>
    <w:rsid w:val="00B67454"/>
    <w:rsid w:val="00B6759E"/>
    <w:rsid w:val="00B679FB"/>
    <w:rsid w:val="00B67B4A"/>
    <w:rsid w:val="00B67D59"/>
    <w:rsid w:val="00B70691"/>
    <w:rsid w:val="00B70AF0"/>
    <w:rsid w:val="00B71402"/>
    <w:rsid w:val="00B71F2D"/>
    <w:rsid w:val="00B7288F"/>
    <w:rsid w:val="00B730BE"/>
    <w:rsid w:val="00B737D1"/>
    <w:rsid w:val="00B74BA1"/>
    <w:rsid w:val="00B74E14"/>
    <w:rsid w:val="00B75CA6"/>
    <w:rsid w:val="00B75D5F"/>
    <w:rsid w:val="00B7653B"/>
    <w:rsid w:val="00B80963"/>
    <w:rsid w:val="00B81F08"/>
    <w:rsid w:val="00B823D3"/>
    <w:rsid w:val="00B82467"/>
    <w:rsid w:val="00B85111"/>
    <w:rsid w:val="00B85475"/>
    <w:rsid w:val="00B8601C"/>
    <w:rsid w:val="00B86D3A"/>
    <w:rsid w:val="00B86F69"/>
    <w:rsid w:val="00B9100B"/>
    <w:rsid w:val="00B91194"/>
    <w:rsid w:val="00B921B8"/>
    <w:rsid w:val="00B92BD5"/>
    <w:rsid w:val="00B92CC1"/>
    <w:rsid w:val="00B92D0C"/>
    <w:rsid w:val="00B92EB3"/>
    <w:rsid w:val="00B93086"/>
    <w:rsid w:val="00B93D2C"/>
    <w:rsid w:val="00B94CDE"/>
    <w:rsid w:val="00B95139"/>
    <w:rsid w:val="00B952B1"/>
    <w:rsid w:val="00B95474"/>
    <w:rsid w:val="00B9562A"/>
    <w:rsid w:val="00BA2193"/>
    <w:rsid w:val="00BA2423"/>
    <w:rsid w:val="00BA4331"/>
    <w:rsid w:val="00BA4AFF"/>
    <w:rsid w:val="00BA548A"/>
    <w:rsid w:val="00BA5B6C"/>
    <w:rsid w:val="00BA6246"/>
    <w:rsid w:val="00BA7458"/>
    <w:rsid w:val="00BA78A5"/>
    <w:rsid w:val="00BA7D3C"/>
    <w:rsid w:val="00BB0112"/>
    <w:rsid w:val="00BB012D"/>
    <w:rsid w:val="00BB0B81"/>
    <w:rsid w:val="00BB2095"/>
    <w:rsid w:val="00BB23C6"/>
    <w:rsid w:val="00BB247F"/>
    <w:rsid w:val="00BB3334"/>
    <w:rsid w:val="00BB3909"/>
    <w:rsid w:val="00BB3FED"/>
    <w:rsid w:val="00BB56B0"/>
    <w:rsid w:val="00BB58A1"/>
    <w:rsid w:val="00BB698E"/>
    <w:rsid w:val="00BB7FB7"/>
    <w:rsid w:val="00BC23A3"/>
    <w:rsid w:val="00BC3307"/>
    <w:rsid w:val="00BC3891"/>
    <w:rsid w:val="00BC38A2"/>
    <w:rsid w:val="00BC4595"/>
    <w:rsid w:val="00BC6A22"/>
    <w:rsid w:val="00BC6A75"/>
    <w:rsid w:val="00BC6A98"/>
    <w:rsid w:val="00BC6BF0"/>
    <w:rsid w:val="00BD060A"/>
    <w:rsid w:val="00BD12F7"/>
    <w:rsid w:val="00BD13CC"/>
    <w:rsid w:val="00BD14F2"/>
    <w:rsid w:val="00BD19AD"/>
    <w:rsid w:val="00BD20ED"/>
    <w:rsid w:val="00BD43FD"/>
    <w:rsid w:val="00BD46EE"/>
    <w:rsid w:val="00BD4C4B"/>
    <w:rsid w:val="00BD6860"/>
    <w:rsid w:val="00BD7D36"/>
    <w:rsid w:val="00BD7D96"/>
    <w:rsid w:val="00BD7FF5"/>
    <w:rsid w:val="00BE029D"/>
    <w:rsid w:val="00BE1331"/>
    <w:rsid w:val="00BE1679"/>
    <w:rsid w:val="00BE334C"/>
    <w:rsid w:val="00BE3C27"/>
    <w:rsid w:val="00BE6B5B"/>
    <w:rsid w:val="00BE7364"/>
    <w:rsid w:val="00BE759F"/>
    <w:rsid w:val="00BE7822"/>
    <w:rsid w:val="00BE7A95"/>
    <w:rsid w:val="00BF082F"/>
    <w:rsid w:val="00BF12D7"/>
    <w:rsid w:val="00BF1302"/>
    <w:rsid w:val="00BF1410"/>
    <w:rsid w:val="00BF1602"/>
    <w:rsid w:val="00BF2970"/>
    <w:rsid w:val="00BF2A97"/>
    <w:rsid w:val="00BF3E4E"/>
    <w:rsid w:val="00BF420C"/>
    <w:rsid w:val="00BF4722"/>
    <w:rsid w:val="00BF4B38"/>
    <w:rsid w:val="00BF54D6"/>
    <w:rsid w:val="00BF59D2"/>
    <w:rsid w:val="00BF75E0"/>
    <w:rsid w:val="00BF7643"/>
    <w:rsid w:val="00BF76E4"/>
    <w:rsid w:val="00BF7874"/>
    <w:rsid w:val="00BF7E33"/>
    <w:rsid w:val="00C01769"/>
    <w:rsid w:val="00C05082"/>
    <w:rsid w:val="00C0538B"/>
    <w:rsid w:val="00C07833"/>
    <w:rsid w:val="00C0793C"/>
    <w:rsid w:val="00C07944"/>
    <w:rsid w:val="00C07F4B"/>
    <w:rsid w:val="00C1078E"/>
    <w:rsid w:val="00C1136E"/>
    <w:rsid w:val="00C11485"/>
    <w:rsid w:val="00C115C6"/>
    <w:rsid w:val="00C11AF8"/>
    <w:rsid w:val="00C12438"/>
    <w:rsid w:val="00C12E6C"/>
    <w:rsid w:val="00C13A01"/>
    <w:rsid w:val="00C16806"/>
    <w:rsid w:val="00C17D33"/>
    <w:rsid w:val="00C200CB"/>
    <w:rsid w:val="00C20465"/>
    <w:rsid w:val="00C22612"/>
    <w:rsid w:val="00C22828"/>
    <w:rsid w:val="00C233C1"/>
    <w:rsid w:val="00C23665"/>
    <w:rsid w:val="00C237D9"/>
    <w:rsid w:val="00C24755"/>
    <w:rsid w:val="00C2556C"/>
    <w:rsid w:val="00C25823"/>
    <w:rsid w:val="00C26991"/>
    <w:rsid w:val="00C2742E"/>
    <w:rsid w:val="00C30795"/>
    <w:rsid w:val="00C310FC"/>
    <w:rsid w:val="00C32FC6"/>
    <w:rsid w:val="00C332BD"/>
    <w:rsid w:val="00C35100"/>
    <w:rsid w:val="00C35F67"/>
    <w:rsid w:val="00C364EA"/>
    <w:rsid w:val="00C36607"/>
    <w:rsid w:val="00C36CE4"/>
    <w:rsid w:val="00C3755E"/>
    <w:rsid w:val="00C40379"/>
    <w:rsid w:val="00C41D91"/>
    <w:rsid w:val="00C422E9"/>
    <w:rsid w:val="00C429F0"/>
    <w:rsid w:val="00C4308B"/>
    <w:rsid w:val="00C446CE"/>
    <w:rsid w:val="00C44794"/>
    <w:rsid w:val="00C44A05"/>
    <w:rsid w:val="00C45045"/>
    <w:rsid w:val="00C474AC"/>
    <w:rsid w:val="00C47574"/>
    <w:rsid w:val="00C479C1"/>
    <w:rsid w:val="00C47D8D"/>
    <w:rsid w:val="00C5074A"/>
    <w:rsid w:val="00C50871"/>
    <w:rsid w:val="00C5238E"/>
    <w:rsid w:val="00C52488"/>
    <w:rsid w:val="00C53E00"/>
    <w:rsid w:val="00C53F75"/>
    <w:rsid w:val="00C54E01"/>
    <w:rsid w:val="00C5536D"/>
    <w:rsid w:val="00C55CEE"/>
    <w:rsid w:val="00C56BA7"/>
    <w:rsid w:val="00C56C32"/>
    <w:rsid w:val="00C57DDA"/>
    <w:rsid w:val="00C60644"/>
    <w:rsid w:val="00C61869"/>
    <w:rsid w:val="00C62FB3"/>
    <w:rsid w:val="00C632CA"/>
    <w:rsid w:val="00C637C6"/>
    <w:rsid w:val="00C6452A"/>
    <w:rsid w:val="00C65116"/>
    <w:rsid w:val="00C66A79"/>
    <w:rsid w:val="00C67FDB"/>
    <w:rsid w:val="00C70A33"/>
    <w:rsid w:val="00C718DA"/>
    <w:rsid w:val="00C71D56"/>
    <w:rsid w:val="00C725DB"/>
    <w:rsid w:val="00C7319A"/>
    <w:rsid w:val="00C7324C"/>
    <w:rsid w:val="00C73917"/>
    <w:rsid w:val="00C74116"/>
    <w:rsid w:val="00C74952"/>
    <w:rsid w:val="00C75948"/>
    <w:rsid w:val="00C804C8"/>
    <w:rsid w:val="00C8098E"/>
    <w:rsid w:val="00C80B59"/>
    <w:rsid w:val="00C80BAD"/>
    <w:rsid w:val="00C81568"/>
    <w:rsid w:val="00C8165D"/>
    <w:rsid w:val="00C82C87"/>
    <w:rsid w:val="00C844F8"/>
    <w:rsid w:val="00C8558B"/>
    <w:rsid w:val="00C860B7"/>
    <w:rsid w:val="00C86C02"/>
    <w:rsid w:val="00C871AA"/>
    <w:rsid w:val="00C91E46"/>
    <w:rsid w:val="00C9214E"/>
    <w:rsid w:val="00C92FE1"/>
    <w:rsid w:val="00C93665"/>
    <w:rsid w:val="00C9652B"/>
    <w:rsid w:val="00C9652E"/>
    <w:rsid w:val="00CA1294"/>
    <w:rsid w:val="00CA21D5"/>
    <w:rsid w:val="00CA3F19"/>
    <w:rsid w:val="00CA4050"/>
    <w:rsid w:val="00CA4080"/>
    <w:rsid w:val="00CA58DE"/>
    <w:rsid w:val="00CA5B71"/>
    <w:rsid w:val="00CB00E9"/>
    <w:rsid w:val="00CB0A6D"/>
    <w:rsid w:val="00CB1828"/>
    <w:rsid w:val="00CB1F9E"/>
    <w:rsid w:val="00CB20CC"/>
    <w:rsid w:val="00CB27AF"/>
    <w:rsid w:val="00CB311D"/>
    <w:rsid w:val="00CB3476"/>
    <w:rsid w:val="00CB54C0"/>
    <w:rsid w:val="00CB6B4C"/>
    <w:rsid w:val="00CB6FD5"/>
    <w:rsid w:val="00CB784A"/>
    <w:rsid w:val="00CB7F04"/>
    <w:rsid w:val="00CC0116"/>
    <w:rsid w:val="00CC03F7"/>
    <w:rsid w:val="00CC0C86"/>
    <w:rsid w:val="00CC48E4"/>
    <w:rsid w:val="00CC5193"/>
    <w:rsid w:val="00CC5387"/>
    <w:rsid w:val="00CC598E"/>
    <w:rsid w:val="00CC6352"/>
    <w:rsid w:val="00CC6803"/>
    <w:rsid w:val="00CC7548"/>
    <w:rsid w:val="00CC788F"/>
    <w:rsid w:val="00CD0BC9"/>
    <w:rsid w:val="00CD0C4F"/>
    <w:rsid w:val="00CD23D3"/>
    <w:rsid w:val="00CD309E"/>
    <w:rsid w:val="00CD3156"/>
    <w:rsid w:val="00CD34B4"/>
    <w:rsid w:val="00CD4554"/>
    <w:rsid w:val="00CD52B2"/>
    <w:rsid w:val="00CD5A19"/>
    <w:rsid w:val="00CD6CDB"/>
    <w:rsid w:val="00CD6D44"/>
    <w:rsid w:val="00CD7AA9"/>
    <w:rsid w:val="00CD7DF2"/>
    <w:rsid w:val="00CE180D"/>
    <w:rsid w:val="00CE2A06"/>
    <w:rsid w:val="00CE4D2D"/>
    <w:rsid w:val="00CE50E5"/>
    <w:rsid w:val="00CE56BB"/>
    <w:rsid w:val="00CE5CBF"/>
    <w:rsid w:val="00CE69A8"/>
    <w:rsid w:val="00CF182D"/>
    <w:rsid w:val="00CF21DF"/>
    <w:rsid w:val="00CF2ADF"/>
    <w:rsid w:val="00CF3F47"/>
    <w:rsid w:val="00CF52DE"/>
    <w:rsid w:val="00CF5D7E"/>
    <w:rsid w:val="00CF65EB"/>
    <w:rsid w:val="00CF67D2"/>
    <w:rsid w:val="00CF6F4E"/>
    <w:rsid w:val="00D00427"/>
    <w:rsid w:val="00D02312"/>
    <w:rsid w:val="00D036C8"/>
    <w:rsid w:val="00D03E72"/>
    <w:rsid w:val="00D04934"/>
    <w:rsid w:val="00D04952"/>
    <w:rsid w:val="00D04BE8"/>
    <w:rsid w:val="00D0722B"/>
    <w:rsid w:val="00D101A1"/>
    <w:rsid w:val="00D113CB"/>
    <w:rsid w:val="00D1161F"/>
    <w:rsid w:val="00D12AFA"/>
    <w:rsid w:val="00D12FB2"/>
    <w:rsid w:val="00D13001"/>
    <w:rsid w:val="00D137A2"/>
    <w:rsid w:val="00D13CD1"/>
    <w:rsid w:val="00D148B2"/>
    <w:rsid w:val="00D14E3E"/>
    <w:rsid w:val="00D15608"/>
    <w:rsid w:val="00D15842"/>
    <w:rsid w:val="00D20921"/>
    <w:rsid w:val="00D209E8"/>
    <w:rsid w:val="00D21817"/>
    <w:rsid w:val="00D2348A"/>
    <w:rsid w:val="00D24078"/>
    <w:rsid w:val="00D241F5"/>
    <w:rsid w:val="00D245D0"/>
    <w:rsid w:val="00D24FD2"/>
    <w:rsid w:val="00D25AF3"/>
    <w:rsid w:val="00D26E7C"/>
    <w:rsid w:val="00D2700F"/>
    <w:rsid w:val="00D3090E"/>
    <w:rsid w:val="00D31531"/>
    <w:rsid w:val="00D31948"/>
    <w:rsid w:val="00D3285B"/>
    <w:rsid w:val="00D33354"/>
    <w:rsid w:val="00D33F67"/>
    <w:rsid w:val="00D33FA1"/>
    <w:rsid w:val="00D3438F"/>
    <w:rsid w:val="00D3451C"/>
    <w:rsid w:val="00D34572"/>
    <w:rsid w:val="00D35EE4"/>
    <w:rsid w:val="00D37261"/>
    <w:rsid w:val="00D377E6"/>
    <w:rsid w:val="00D379AF"/>
    <w:rsid w:val="00D379F7"/>
    <w:rsid w:val="00D37C46"/>
    <w:rsid w:val="00D40110"/>
    <w:rsid w:val="00D40E84"/>
    <w:rsid w:val="00D41596"/>
    <w:rsid w:val="00D41EEC"/>
    <w:rsid w:val="00D41FF5"/>
    <w:rsid w:val="00D44E69"/>
    <w:rsid w:val="00D462D6"/>
    <w:rsid w:val="00D47FCB"/>
    <w:rsid w:val="00D502C7"/>
    <w:rsid w:val="00D504DD"/>
    <w:rsid w:val="00D50E59"/>
    <w:rsid w:val="00D51C7C"/>
    <w:rsid w:val="00D527DC"/>
    <w:rsid w:val="00D53AE5"/>
    <w:rsid w:val="00D541FB"/>
    <w:rsid w:val="00D544A9"/>
    <w:rsid w:val="00D55166"/>
    <w:rsid w:val="00D563A6"/>
    <w:rsid w:val="00D61EB4"/>
    <w:rsid w:val="00D62386"/>
    <w:rsid w:val="00D641FF"/>
    <w:rsid w:val="00D65E8C"/>
    <w:rsid w:val="00D6617E"/>
    <w:rsid w:val="00D668F7"/>
    <w:rsid w:val="00D672CE"/>
    <w:rsid w:val="00D7176A"/>
    <w:rsid w:val="00D71AB1"/>
    <w:rsid w:val="00D727C9"/>
    <w:rsid w:val="00D72F99"/>
    <w:rsid w:val="00D736D1"/>
    <w:rsid w:val="00D738A7"/>
    <w:rsid w:val="00D73C06"/>
    <w:rsid w:val="00D747C8"/>
    <w:rsid w:val="00D74D74"/>
    <w:rsid w:val="00D754A2"/>
    <w:rsid w:val="00D756A7"/>
    <w:rsid w:val="00D75F59"/>
    <w:rsid w:val="00D7624E"/>
    <w:rsid w:val="00D77A77"/>
    <w:rsid w:val="00D8019C"/>
    <w:rsid w:val="00D81EAE"/>
    <w:rsid w:val="00D830D7"/>
    <w:rsid w:val="00D83B33"/>
    <w:rsid w:val="00D85C7E"/>
    <w:rsid w:val="00D86326"/>
    <w:rsid w:val="00D8635C"/>
    <w:rsid w:val="00D86F08"/>
    <w:rsid w:val="00D86F81"/>
    <w:rsid w:val="00D870FC"/>
    <w:rsid w:val="00D8752B"/>
    <w:rsid w:val="00D878C1"/>
    <w:rsid w:val="00D92FF7"/>
    <w:rsid w:val="00D93D1D"/>
    <w:rsid w:val="00D94106"/>
    <w:rsid w:val="00D949B2"/>
    <w:rsid w:val="00DA0093"/>
    <w:rsid w:val="00DA0254"/>
    <w:rsid w:val="00DA1D43"/>
    <w:rsid w:val="00DA221E"/>
    <w:rsid w:val="00DA22CE"/>
    <w:rsid w:val="00DA2647"/>
    <w:rsid w:val="00DA2A5E"/>
    <w:rsid w:val="00DA3215"/>
    <w:rsid w:val="00DA327F"/>
    <w:rsid w:val="00DA4D68"/>
    <w:rsid w:val="00DA5646"/>
    <w:rsid w:val="00DA5847"/>
    <w:rsid w:val="00DB0237"/>
    <w:rsid w:val="00DB0B7E"/>
    <w:rsid w:val="00DB1967"/>
    <w:rsid w:val="00DB1F83"/>
    <w:rsid w:val="00DB20E8"/>
    <w:rsid w:val="00DB585B"/>
    <w:rsid w:val="00DB6263"/>
    <w:rsid w:val="00DB64EA"/>
    <w:rsid w:val="00DB6F4D"/>
    <w:rsid w:val="00DB749D"/>
    <w:rsid w:val="00DB7820"/>
    <w:rsid w:val="00DC008F"/>
    <w:rsid w:val="00DC0431"/>
    <w:rsid w:val="00DC084B"/>
    <w:rsid w:val="00DC18A6"/>
    <w:rsid w:val="00DC218E"/>
    <w:rsid w:val="00DC2587"/>
    <w:rsid w:val="00DC2CBE"/>
    <w:rsid w:val="00DC43F5"/>
    <w:rsid w:val="00DC4431"/>
    <w:rsid w:val="00DD087D"/>
    <w:rsid w:val="00DD156D"/>
    <w:rsid w:val="00DD417F"/>
    <w:rsid w:val="00DD4D7C"/>
    <w:rsid w:val="00DD6E68"/>
    <w:rsid w:val="00DE017F"/>
    <w:rsid w:val="00DE1D9E"/>
    <w:rsid w:val="00DE428F"/>
    <w:rsid w:val="00DE66FC"/>
    <w:rsid w:val="00DE738A"/>
    <w:rsid w:val="00DE7981"/>
    <w:rsid w:val="00DF13E7"/>
    <w:rsid w:val="00DF18C6"/>
    <w:rsid w:val="00DF21EC"/>
    <w:rsid w:val="00DF2882"/>
    <w:rsid w:val="00DF331F"/>
    <w:rsid w:val="00DF46E9"/>
    <w:rsid w:val="00DF4FD0"/>
    <w:rsid w:val="00DF6BC0"/>
    <w:rsid w:val="00E001EC"/>
    <w:rsid w:val="00E0173D"/>
    <w:rsid w:val="00E01746"/>
    <w:rsid w:val="00E02999"/>
    <w:rsid w:val="00E031D5"/>
    <w:rsid w:val="00E044D1"/>
    <w:rsid w:val="00E060A1"/>
    <w:rsid w:val="00E06B6A"/>
    <w:rsid w:val="00E06C6C"/>
    <w:rsid w:val="00E10013"/>
    <w:rsid w:val="00E101A0"/>
    <w:rsid w:val="00E10DFC"/>
    <w:rsid w:val="00E12B7F"/>
    <w:rsid w:val="00E131AD"/>
    <w:rsid w:val="00E15B80"/>
    <w:rsid w:val="00E16A8E"/>
    <w:rsid w:val="00E178DA"/>
    <w:rsid w:val="00E17F7D"/>
    <w:rsid w:val="00E207BD"/>
    <w:rsid w:val="00E20D80"/>
    <w:rsid w:val="00E20D84"/>
    <w:rsid w:val="00E21C31"/>
    <w:rsid w:val="00E21D4A"/>
    <w:rsid w:val="00E23EF8"/>
    <w:rsid w:val="00E24BFE"/>
    <w:rsid w:val="00E25109"/>
    <w:rsid w:val="00E254A0"/>
    <w:rsid w:val="00E259BF"/>
    <w:rsid w:val="00E26A6A"/>
    <w:rsid w:val="00E26F95"/>
    <w:rsid w:val="00E27535"/>
    <w:rsid w:val="00E2786E"/>
    <w:rsid w:val="00E30735"/>
    <w:rsid w:val="00E30C5A"/>
    <w:rsid w:val="00E31563"/>
    <w:rsid w:val="00E31AF8"/>
    <w:rsid w:val="00E3228F"/>
    <w:rsid w:val="00E3471F"/>
    <w:rsid w:val="00E34C8C"/>
    <w:rsid w:val="00E34E19"/>
    <w:rsid w:val="00E34E30"/>
    <w:rsid w:val="00E40575"/>
    <w:rsid w:val="00E41125"/>
    <w:rsid w:val="00E425D0"/>
    <w:rsid w:val="00E4341F"/>
    <w:rsid w:val="00E43AC3"/>
    <w:rsid w:val="00E44390"/>
    <w:rsid w:val="00E46209"/>
    <w:rsid w:val="00E4660E"/>
    <w:rsid w:val="00E4788F"/>
    <w:rsid w:val="00E47A48"/>
    <w:rsid w:val="00E51091"/>
    <w:rsid w:val="00E5338B"/>
    <w:rsid w:val="00E53E6A"/>
    <w:rsid w:val="00E54D4E"/>
    <w:rsid w:val="00E55137"/>
    <w:rsid w:val="00E551F3"/>
    <w:rsid w:val="00E55421"/>
    <w:rsid w:val="00E5573A"/>
    <w:rsid w:val="00E5585A"/>
    <w:rsid w:val="00E55C87"/>
    <w:rsid w:val="00E56347"/>
    <w:rsid w:val="00E5685D"/>
    <w:rsid w:val="00E623EB"/>
    <w:rsid w:val="00E628EE"/>
    <w:rsid w:val="00E629AC"/>
    <w:rsid w:val="00E631FD"/>
    <w:rsid w:val="00E636C6"/>
    <w:rsid w:val="00E64707"/>
    <w:rsid w:val="00E67187"/>
    <w:rsid w:val="00E676C5"/>
    <w:rsid w:val="00E70EAC"/>
    <w:rsid w:val="00E71AE6"/>
    <w:rsid w:val="00E73DE6"/>
    <w:rsid w:val="00E743D4"/>
    <w:rsid w:val="00E74D21"/>
    <w:rsid w:val="00E75394"/>
    <w:rsid w:val="00E76A05"/>
    <w:rsid w:val="00E7755C"/>
    <w:rsid w:val="00E8014E"/>
    <w:rsid w:val="00E81B09"/>
    <w:rsid w:val="00E81D59"/>
    <w:rsid w:val="00E81F8D"/>
    <w:rsid w:val="00E82E7F"/>
    <w:rsid w:val="00E84C10"/>
    <w:rsid w:val="00E854A5"/>
    <w:rsid w:val="00E90659"/>
    <w:rsid w:val="00E90A1B"/>
    <w:rsid w:val="00E90A5D"/>
    <w:rsid w:val="00E921B3"/>
    <w:rsid w:val="00E938DA"/>
    <w:rsid w:val="00E93A11"/>
    <w:rsid w:val="00E9557E"/>
    <w:rsid w:val="00E9664B"/>
    <w:rsid w:val="00EA0521"/>
    <w:rsid w:val="00EA0824"/>
    <w:rsid w:val="00EA27AB"/>
    <w:rsid w:val="00EA2899"/>
    <w:rsid w:val="00EA2E0B"/>
    <w:rsid w:val="00EA3E3D"/>
    <w:rsid w:val="00EA62A8"/>
    <w:rsid w:val="00EA6AD9"/>
    <w:rsid w:val="00EA7668"/>
    <w:rsid w:val="00EB11EC"/>
    <w:rsid w:val="00EB129F"/>
    <w:rsid w:val="00EB1680"/>
    <w:rsid w:val="00EB1B65"/>
    <w:rsid w:val="00EB2A41"/>
    <w:rsid w:val="00EB3092"/>
    <w:rsid w:val="00EB351A"/>
    <w:rsid w:val="00EB454D"/>
    <w:rsid w:val="00EB4C92"/>
    <w:rsid w:val="00EB534C"/>
    <w:rsid w:val="00EB53CF"/>
    <w:rsid w:val="00EB77A4"/>
    <w:rsid w:val="00EB7BDB"/>
    <w:rsid w:val="00EB7E08"/>
    <w:rsid w:val="00EC0508"/>
    <w:rsid w:val="00EC19AE"/>
    <w:rsid w:val="00EC25A2"/>
    <w:rsid w:val="00EC4389"/>
    <w:rsid w:val="00EC44C3"/>
    <w:rsid w:val="00EC4B86"/>
    <w:rsid w:val="00EC5609"/>
    <w:rsid w:val="00EC5E1E"/>
    <w:rsid w:val="00EC6171"/>
    <w:rsid w:val="00ED0E30"/>
    <w:rsid w:val="00ED1CEF"/>
    <w:rsid w:val="00ED2182"/>
    <w:rsid w:val="00ED39D9"/>
    <w:rsid w:val="00ED5257"/>
    <w:rsid w:val="00ED6B98"/>
    <w:rsid w:val="00EE14FF"/>
    <w:rsid w:val="00EE25F1"/>
    <w:rsid w:val="00EE2A2B"/>
    <w:rsid w:val="00EE3189"/>
    <w:rsid w:val="00EE3856"/>
    <w:rsid w:val="00EE3CE6"/>
    <w:rsid w:val="00EE493C"/>
    <w:rsid w:val="00EE4CE3"/>
    <w:rsid w:val="00EE56DF"/>
    <w:rsid w:val="00EE69C3"/>
    <w:rsid w:val="00EE7750"/>
    <w:rsid w:val="00EE778C"/>
    <w:rsid w:val="00EF057E"/>
    <w:rsid w:val="00EF0856"/>
    <w:rsid w:val="00EF1469"/>
    <w:rsid w:val="00EF1A6D"/>
    <w:rsid w:val="00EF1E36"/>
    <w:rsid w:val="00EF1F88"/>
    <w:rsid w:val="00EF3DE5"/>
    <w:rsid w:val="00EF485F"/>
    <w:rsid w:val="00EF75BC"/>
    <w:rsid w:val="00EF76D8"/>
    <w:rsid w:val="00EF7C59"/>
    <w:rsid w:val="00EF7D34"/>
    <w:rsid w:val="00F00025"/>
    <w:rsid w:val="00F00596"/>
    <w:rsid w:val="00F01199"/>
    <w:rsid w:val="00F0137C"/>
    <w:rsid w:val="00F016F3"/>
    <w:rsid w:val="00F02E0E"/>
    <w:rsid w:val="00F0311E"/>
    <w:rsid w:val="00F0599A"/>
    <w:rsid w:val="00F06435"/>
    <w:rsid w:val="00F06AC7"/>
    <w:rsid w:val="00F06F82"/>
    <w:rsid w:val="00F07FC2"/>
    <w:rsid w:val="00F1035B"/>
    <w:rsid w:val="00F120A9"/>
    <w:rsid w:val="00F12561"/>
    <w:rsid w:val="00F161A4"/>
    <w:rsid w:val="00F1716C"/>
    <w:rsid w:val="00F17CC1"/>
    <w:rsid w:val="00F2012D"/>
    <w:rsid w:val="00F2123A"/>
    <w:rsid w:val="00F21492"/>
    <w:rsid w:val="00F21A39"/>
    <w:rsid w:val="00F21E24"/>
    <w:rsid w:val="00F233AC"/>
    <w:rsid w:val="00F23E2E"/>
    <w:rsid w:val="00F24D27"/>
    <w:rsid w:val="00F25297"/>
    <w:rsid w:val="00F26002"/>
    <w:rsid w:val="00F2630B"/>
    <w:rsid w:val="00F27E41"/>
    <w:rsid w:val="00F27FE3"/>
    <w:rsid w:val="00F30C5C"/>
    <w:rsid w:val="00F318E9"/>
    <w:rsid w:val="00F31F80"/>
    <w:rsid w:val="00F32001"/>
    <w:rsid w:val="00F320E3"/>
    <w:rsid w:val="00F336CE"/>
    <w:rsid w:val="00F35068"/>
    <w:rsid w:val="00F3733D"/>
    <w:rsid w:val="00F40068"/>
    <w:rsid w:val="00F40705"/>
    <w:rsid w:val="00F427C2"/>
    <w:rsid w:val="00F42B55"/>
    <w:rsid w:val="00F433CF"/>
    <w:rsid w:val="00F440B7"/>
    <w:rsid w:val="00F44114"/>
    <w:rsid w:val="00F44E44"/>
    <w:rsid w:val="00F45695"/>
    <w:rsid w:val="00F4586B"/>
    <w:rsid w:val="00F458C8"/>
    <w:rsid w:val="00F472A5"/>
    <w:rsid w:val="00F51CB4"/>
    <w:rsid w:val="00F53018"/>
    <w:rsid w:val="00F53F3E"/>
    <w:rsid w:val="00F559D8"/>
    <w:rsid w:val="00F573C6"/>
    <w:rsid w:val="00F60A52"/>
    <w:rsid w:val="00F60F40"/>
    <w:rsid w:val="00F610E1"/>
    <w:rsid w:val="00F61CE5"/>
    <w:rsid w:val="00F61D55"/>
    <w:rsid w:val="00F625A8"/>
    <w:rsid w:val="00F6344A"/>
    <w:rsid w:val="00F65325"/>
    <w:rsid w:val="00F666C8"/>
    <w:rsid w:val="00F66769"/>
    <w:rsid w:val="00F667FD"/>
    <w:rsid w:val="00F72D91"/>
    <w:rsid w:val="00F73429"/>
    <w:rsid w:val="00F73A7F"/>
    <w:rsid w:val="00F73BB7"/>
    <w:rsid w:val="00F73C8B"/>
    <w:rsid w:val="00F759C7"/>
    <w:rsid w:val="00F75D48"/>
    <w:rsid w:val="00F76B99"/>
    <w:rsid w:val="00F77ACE"/>
    <w:rsid w:val="00F77DD2"/>
    <w:rsid w:val="00F808BB"/>
    <w:rsid w:val="00F81A10"/>
    <w:rsid w:val="00F82F48"/>
    <w:rsid w:val="00F858DC"/>
    <w:rsid w:val="00F86945"/>
    <w:rsid w:val="00F8757D"/>
    <w:rsid w:val="00F915C7"/>
    <w:rsid w:val="00F91BFC"/>
    <w:rsid w:val="00F91FC5"/>
    <w:rsid w:val="00F92249"/>
    <w:rsid w:val="00F93115"/>
    <w:rsid w:val="00F97262"/>
    <w:rsid w:val="00FA0519"/>
    <w:rsid w:val="00FA056C"/>
    <w:rsid w:val="00FA326D"/>
    <w:rsid w:val="00FA484B"/>
    <w:rsid w:val="00FA4889"/>
    <w:rsid w:val="00FA4B32"/>
    <w:rsid w:val="00FA4B75"/>
    <w:rsid w:val="00FA7265"/>
    <w:rsid w:val="00FB008B"/>
    <w:rsid w:val="00FB07EF"/>
    <w:rsid w:val="00FB0FF4"/>
    <w:rsid w:val="00FB1668"/>
    <w:rsid w:val="00FB22D3"/>
    <w:rsid w:val="00FB282C"/>
    <w:rsid w:val="00FB2B0F"/>
    <w:rsid w:val="00FB36F3"/>
    <w:rsid w:val="00FB3AFD"/>
    <w:rsid w:val="00FB582F"/>
    <w:rsid w:val="00FB584F"/>
    <w:rsid w:val="00FB6539"/>
    <w:rsid w:val="00FB7FF9"/>
    <w:rsid w:val="00FC044C"/>
    <w:rsid w:val="00FC0C37"/>
    <w:rsid w:val="00FC2088"/>
    <w:rsid w:val="00FC223E"/>
    <w:rsid w:val="00FC27C2"/>
    <w:rsid w:val="00FC2A9B"/>
    <w:rsid w:val="00FC30AF"/>
    <w:rsid w:val="00FC39B1"/>
    <w:rsid w:val="00FC416A"/>
    <w:rsid w:val="00FC5AB6"/>
    <w:rsid w:val="00FC6355"/>
    <w:rsid w:val="00FC74A2"/>
    <w:rsid w:val="00FD0665"/>
    <w:rsid w:val="00FD0A11"/>
    <w:rsid w:val="00FD381E"/>
    <w:rsid w:val="00FD3A1C"/>
    <w:rsid w:val="00FD5628"/>
    <w:rsid w:val="00FD66D8"/>
    <w:rsid w:val="00FD672D"/>
    <w:rsid w:val="00FE0BBC"/>
    <w:rsid w:val="00FE24D4"/>
    <w:rsid w:val="00FE2DFC"/>
    <w:rsid w:val="00FE3AB2"/>
    <w:rsid w:val="00FE4023"/>
    <w:rsid w:val="00FE51EE"/>
    <w:rsid w:val="00FE5584"/>
    <w:rsid w:val="00FE5ACA"/>
    <w:rsid w:val="00FE60A3"/>
    <w:rsid w:val="00FE647E"/>
    <w:rsid w:val="00FE747E"/>
    <w:rsid w:val="00FE7557"/>
    <w:rsid w:val="00FF033E"/>
    <w:rsid w:val="00FF2472"/>
    <w:rsid w:val="00FF255C"/>
    <w:rsid w:val="00FF25A4"/>
    <w:rsid w:val="00FF2D54"/>
    <w:rsid w:val="00FF5050"/>
    <w:rsid w:val="00FF57B0"/>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15:docId w15:val="{DE96172E-7932-418E-A7D8-BFCD28BB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57"/>
    <w:pPr>
      <w:spacing w:before="60" w:after="60" w:line="240" w:lineRule="auto"/>
      <w:ind w:firstLine="340"/>
      <w:jc w:val="both"/>
    </w:pPr>
    <w:rPr>
      <w:rFonts w:ascii="Times New Roman" w:hAnsi="Times New Roman"/>
      <w:sz w:val="24"/>
    </w:rPr>
  </w:style>
  <w:style w:type="paragraph" w:styleId="Heading1">
    <w:name w:val="heading 1"/>
    <w:basedOn w:val="Normal"/>
    <w:next w:val="Normal"/>
    <w:link w:val="Heading1Char"/>
    <w:uiPriority w:val="9"/>
    <w:qFormat/>
    <w:rsid w:val="006B51BA"/>
    <w:pPr>
      <w:keepNext/>
      <w:keepLines/>
      <w:pBdr>
        <w:bottom w:val="single" w:sz="4" w:space="1" w:color="D34817" w:themeColor="accent1"/>
      </w:pBdr>
      <w:spacing w:before="400" w:after="40"/>
      <w:outlineLvl w:val="0"/>
    </w:pPr>
    <w:rPr>
      <w:rFonts w:eastAsiaTheme="majorEastAsia" w:cstheme="majorBidi"/>
      <w:color w:val="9D3511" w:themeColor="accent1" w:themeShade="BF"/>
      <w:sz w:val="36"/>
      <w:szCs w:val="36"/>
    </w:rPr>
  </w:style>
  <w:style w:type="paragraph" w:styleId="Heading2">
    <w:name w:val="heading 2"/>
    <w:basedOn w:val="Normal"/>
    <w:next w:val="Normal"/>
    <w:link w:val="Heading2Char"/>
    <w:uiPriority w:val="9"/>
    <w:unhideWhenUsed/>
    <w:qFormat/>
    <w:rsid w:val="00AF4E00"/>
    <w:pPr>
      <w:keepNext/>
      <w:keepLines/>
      <w:spacing w:before="240" w:after="120"/>
      <w:outlineLvl w:val="1"/>
    </w:pPr>
    <w:rPr>
      <w:rFonts w:eastAsiaTheme="majorEastAsia" w:cstheme="majorBidi"/>
      <w:color w:val="9D3511" w:themeColor="accent1" w:themeShade="BF"/>
      <w:sz w:val="28"/>
      <w:szCs w:val="28"/>
    </w:rPr>
  </w:style>
  <w:style w:type="paragraph" w:styleId="Heading3">
    <w:name w:val="heading 3"/>
    <w:basedOn w:val="Normal"/>
    <w:next w:val="Normal"/>
    <w:link w:val="Heading3Char"/>
    <w:uiPriority w:val="9"/>
    <w:unhideWhenUsed/>
    <w:qFormat/>
    <w:rsid w:val="002B6E1D"/>
    <w:pPr>
      <w:keepNext/>
      <w:keepLines/>
      <w:spacing w:before="120" w:after="120"/>
      <w:ind w:left="567"/>
      <w:outlineLvl w:val="2"/>
    </w:pPr>
    <w:rPr>
      <w:rFonts w:eastAsiaTheme="majorEastAsia" w:cstheme="majorBidi"/>
      <w:color w:val="9D3511" w:themeColor="accent1" w:themeShade="BF"/>
      <w:sz w:val="26"/>
      <w:szCs w:val="26"/>
    </w:rPr>
  </w:style>
  <w:style w:type="paragraph" w:styleId="Heading4">
    <w:name w:val="heading 4"/>
    <w:basedOn w:val="Normal"/>
    <w:next w:val="Normal"/>
    <w:link w:val="Heading4Char"/>
    <w:uiPriority w:val="9"/>
    <w:unhideWhenUsed/>
    <w:qFormat/>
    <w:rsid w:val="00EC19AE"/>
    <w:pPr>
      <w:keepNext/>
      <w:keepLines/>
      <w:spacing w:before="120" w:after="120"/>
      <w:ind w:left="1134"/>
      <w:outlineLvl w:val="3"/>
    </w:pPr>
    <w:rPr>
      <w:rFonts w:eastAsiaTheme="majorEastAsia" w:cstheme="majorBidi"/>
      <w:color w:val="9D3511" w:themeColor="accent1" w:themeShade="BF"/>
      <w:szCs w:val="24"/>
    </w:rPr>
  </w:style>
  <w:style w:type="paragraph" w:styleId="Heading5">
    <w:name w:val="heading 5"/>
    <w:basedOn w:val="Normal"/>
    <w:next w:val="Normal"/>
    <w:link w:val="Heading5Char"/>
    <w:uiPriority w:val="9"/>
    <w:semiHidden/>
    <w:unhideWhenUsed/>
    <w:qFormat/>
    <w:rsid w:val="006823C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23C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23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23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23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4DB"/>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rsid w:val="00EC19AE"/>
    <w:rPr>
      <w:rFonts w:ascii="Times New Roman" w:hAnsi="Times New Roman" w:eastAsiaTheme="majorEastAsia" w:cstheme="majorBidi"/>
      <w:color w:val="9D3511" w:themeColor="accent1" w:themeShade="BF"/>
      <w:sz w:val="24"/>
      <w:szCs w:val="24"/>
    </w:rPr>
  </w:style>
  <w:style w:type="paragraph" w:customStyle="1" w:styleId="HE1F">
    <w:name w:val="HE1 F"/>
    <w:basedOn w:val="Normal"/>
    <w:rsid w:val="008714DB"/>
    <w:pPr>
      <w:keepNext/>
      <w:keepLines/>
      <w:numPr>
        <w:numId w:val="2"/>
      </w:numPr>
      <w:spacing w:before="120" w:after="240"/>
      <w:ind w:left="1077" w:hanging="357"/>
      <w:jc w:val="center"/>
      <w:outlineLvl w:val="1"/>
    </w:pPr>
    <w:rPr>
      <w:rFonts w:eastAsia="Times New Roman" w:cs="Times New Roman"/>
      <w:b/>
      <w:bCs/>
      <w:sz w:val="28"/>
      <w:szCs w:val="28"/>
    </w:rPr>
  </w:style>
  <w:style w:type="paragraph" w:customStyle="1" w:styleId="HE2F">
    <w:name w:val="HE2 F"/>
    <w:basedOn w:val="HE1F"/>
    <w:rsid w:val="008714DB"/>
    <w:pPr>
      <w:numPr>
        <w:ilvl w:val="1"/>
      </w:numPr>
      <w:ind w:left="425" w:hanging="425"/>
      <w:jc w:val="left"/>
    </w:pPr>
  </w:style>
  <w:style w:type="paragraph" w:customStyle="1" w:styleId="HE3F">
    <w:name w:val="HE3 F"/>
    <w:basedOn w:val="HE2F"/>
    <w:rsid w:val="008714DB"/>
    <w:pPr>
      <w:numPr>
        <w:ilvl w:val="2"/>
      </w:numPr>
      <w:spacing w:before="240"/>
      <w:ind w:left="992" w:hanging="992"/>
    </w:pPr>
  </w:style>
  <w:style w:type="paragraph" w:customStyle="1" w:styleId="HE4F">
    <w:name w:val="HE4 F"/>
    <w:basedOn w:val="HE3F"/>
    <w:rsid w:val="008714DB"/>
    <w:pPr>
      <w:numPr>
        <w:ilvl w:val="3"/>
      </w:numPr>
    </w:pPr>
    <w:rPr>
      <w:sz w:val="24"/>
      <w:szCs w:val="24"/>
    </w:rPr>
  </w:style>
  <w:style w:type="paragraph" w:customStyle="1" w:styleId="HE5F">
    <w:name w:val="HE5 F"/>
    <w:basedOn w:val="HE4F"/>
    <w:rsid w:val="008714DB"/>
    <w:pPr>
      <w:numPr>
        <w:ilvl w:val="0"/>
        <w:numId w:val="0"/>
      </w:numPr>
      <w:spacing w:after="120"/>
    </w:pPr>
  </w:style>
  <w:style w:type="paragraph" w:customStyle="1" w:styleId="BulletsF">
    <w:name w:val="Bullets F"/>
    <w:basedOn w:val="Normal"/>
    <w:link w:val="BulletsFChar"/>
    <w:autoRedefine/>
    <w:rsid w:val="002A34DA"/>
    <w:pPr>
      <w:numPr>
        <w:numId w:val="1"/>
      </w:numPr>
      <w:ind w:left="714" w:hanging="357"/>
      <w:contextualSpacing/>
    </w:pPr>
    <w:rPr>
      <w:rFonts w:eastAsia="Candara" w:cs="Times New Roman"/>
      <w:szCs w:val="24"/>
    </w:rPr>
  </w:style>
  <w:style w:type="character" w:customStyle="1" w:styleId="BulletsFChar">
    <w:name w:val="Bullets F Char"/>
    <w:link w:val="BulletsF"/>
    <w:locked/>
    <w:rsid w:val="002A34DA"/>
    <w:rPr>
      <w:rFonts w:ascii="Times New Roman" w:eastAsia="Candara" w:hAnsi="Times New Roman" w:cs="Times New Roman"/>
      <w:sz w:val="24"/>
      <w:szCs w:val="24"/>
    </w:rPr>
  </w:style>
  <w:style w:type="paragraph" w:styleId="Caption">
    <w:name w:val="caption"/>
    <w:basedOn w:val="Normal"/>
    <w:next w:val="Normal"/>
    <w:link w:val="CaptionChar"/>
    <w:uiPriority w:val="35"/>
    <w:unhideWhenUsed/>
    <w:qFormat/>
    <w:rsid w:val="00E90A1B"/>
    <w:pPr>
      <w:spacing w:before="240" w:after="120"/>
    </w:pPr>
    <w:rPr>
      <w:b/>
      <w:bCs/>
      <w:color w:val="404040" w:themeColor="text1" w:themeTint="BF"/>
      <w:sz w:val="20"/>
      <w:szCs w:val="20"/>
    </w:rPr>
  </w:style>
  <w:style w:type="character" w:customStyle="1" w:styleId="CaptionChar">
    <w:name w:val="Caption Char"/>
    <w:link w:val="Caption"/>
    <w:uiPriority w:val="35"/>
    <w:locked/>
    <w:rsid w:val="00E90A1B"/>
    <w:rPr>
      <w:rFonts w:ascii="Times New Roman" w:hAnsi="Times New Roman"/>
      <w:b/>
      <w:bCs/>
      <w:color w:val="404040" w:themeColor="text1" w:themeTint="BF"/>
      <w:sz w:val="20"/>
      <w:szCs w:val="20"/>
    </w:rPr>
  </w:style>
  <w:style w:type="paragraph" w:styleId="ListParagraph">
    <w:name w:val="List Paragraph"/>
    <w:aliases w:val="2,H&amp;P List Paragraph,Saraksta rindkopa,Saraksta rindkopa1,Strip"/>
    <w:basedOn w:val="Normal"/>
    <w:link w:val="ListParagraphChar"/>
    <w:autoRedefine/>
    <w:uiPriority w:val="34"/>
    <w:qFormat/>
    <w:rsid w:val="00160F57"/>
    <w:pPr>
      <w:spacing w:before="120"/>
      <w:contextualSpacing/>
    </w:pPr>
    <w:rPr>
      <w:szCs w:val="22"/>
      <w:lang w:eastAsia="lv-LV"/>
    </w:rPr>
  </w:style>
  <w:style w:type="character" w:customStyle="1" w:styleId="ListParagraphChar">
    <w:name w:val="List Paragraph Char"/>
    <w:aliases w:val="2 Char,H&amp;P List Paragraph Char,Saraksta rindkopa Char,Saraksta rindkopa1 Char,Strip Char"/>
    <w:link w:val="ListParagraph"/>
    <w:uiPriority w:val="34"/>
    <w:locked/>
    <w:rsid w:val="00160F57"/>
    <w:rPr>
      <w:rFonts w:ascii="Times New Roman" w:hAnsi="Times New Roman"/>
      <w:sz w:val="24"/>
      <w:szCs w:val="22"/>
      <w:lang w:eastAsia="lv-LV"/>
    </w:rPr>
  </w:style>
  <w:style w:type="paragraph" w:customStyle="1" w:styleId="TableText">
    <w:name w:val="Table Text"/>
    <w:basedOn w:val="Normal"/>
    <w:link w:val="TableTextChar"/>
    <w:rsid w:val="008714DB"/>
    <w:pPr>
      <w:spacing w:after="0"/>
    </w:pPr>
    <w:rPr>
      <w:rFonts w:eastAsia="Times New Roman" w:cs="Times New Roman"/>
      <w:bCs/>
      <w:iCs/>
      <w:noProof/>
      <w:szCs w:val="24"/>
      <w:lang w:eastAsia="lv-LV"/>
    </w:rPr>
  </w:style>
  <w:style w:type="character" w:customStyle="1" w:styleId="TableTextChar">
    <w:name w:val="Table Text Char"/>
    <w:link w:val="TableText"/>
    <w:rsid w:val="008714DB"/>
    <w:rPr>
      <w:rFonts w:ascii="Times New Roman" w:eastAsia="Times New Roman" w:hAnsi="Times New Roman" w:cs="Times New Roman"/>
      <w:bCs/>
      <w:iCs/>
      <w:noProof/>
      <w:sz w:val="24"/>
      <w:szCs w:val="24"/>
      <w:lang w:eastAsia="lv-LV"/>
    </w:rPr>
  </w:style>
  <w:style w:type="paragraph" w:customStyle="1" w:styleId="AvotsItalic">
    <w:name w:val="Avots Italic"/>
    <w:basedOn w:val="Normal"/>
    <w:rsid w:val="008714DB"/>
    <w:pPr>
      <w:spacing w:after="240"/>
      <w:ind w:firstLine="709"/>
    </w:pPr>
    <w:rPr>
      <w:rFonts w:eastAsia="Times New Roman" w:cs="Times New Roman"/>
      <w:i/>
      <w:sz w:val="20"/>
      <w:szCs w:val="20"/>
    </w:rPr>
  </w:style>
  <w:style w:type="table" w:styleId="TableGrid">
    <w:name w:val="Table Grid"/>
    <w:basedOn w:val="TableNormal"/>
    <w:uiPriority w:val="39"/>
    <w:rsid w:val="0087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2BEC"/>
    <w:pPr>
      <w:tabs>
        <w:tab w:val="center" w:pos="4320"/>
        <w:tab w:val="right" w:pos="8640"/>
      </w:tabs>
      <w:spacing w:after="0"/>
    </w:pPr>
    <w:rPr>
      <w:sz w:val="20"/>
    </w:rPr>
  </w:style>
  <w:style w:type="character" w:customStyle="1" w:styleId="FooterChar">
    <w:name w:val="Footer Char"/>
    <w:basedOn w:val="DefaultParagraphFont"/>
    <w:link w:val="Footer"/>
    <w:uiPriority w:val="99"/>
    <w:rsid w:val="007B2BEC"/>
    <w:rPr>
      <w:rFonts w:ascii="Times New Roman" w:hAnsi="Times New Roman"/>
      <w:sz w:val="20"/>
    </w:rPr>
  </w:style>
  <w:style w:type="paragraph" w:customStyle="1" w:styleId="NumberedF">
    <w:name w:val="Numbered F"/>
    <w:basedOn w:val="ListParagraph"/>
    <w:link w:val="NumberedFChar"/>
    <w:autoRedefine/>
    <w:rsid w:val="0034116C"/>
    <w:pPr>
      <w:ind w:firstLine="0"/>
    </w:pPr>
    <w:rPr>
      <w:rFonts w:cs="Arial Unicode MS"/>
      <w:lang w:eastAsia="zh-CN" w:bidi="lo-LA"/>
    </w:rPr>
  </w:style>
  <w:style w:type="character" w:customStyle="1" w:styleId="Heading1Char">
    <w:name w:val="Heading 1 Char"/>
    <w:basedOn w:val="DefaultParagraphFont"/>
    <w:link w:val="Heading1"/>
    <w:uiPriority w:val="9"/>
    <w:rsid w:val="006B51BA"/>
    <w:rPr>
      <w:rFonts w:ascii="Times New Roman" w:hAnsi="Times New Roman" w:eastAsiaTheme="majorEastAsia" w:cstheme="majorBidi"/>
      <w:color w:val="9D3511" w:themeColor="accent1" w:themeShade="BF"/>
      <w:sz w:val="36"/>
      <w:szCs w:val="36"/>
    </w:rPr>
  </w:style>
  <w:style w:type="paragraph" w:styleId="Header">
    <w:name w:val="header"/>
    <w:aliases w:val="18pt Bold"/>
    <w:basedOn w:val="Normal"/>
    <w:link w:val="HeaderChar"/>
    <w:autoRedefine/>
    <w:uiPriority w:val="99"/>
    <w:unhideWhenUsed/>
    <w:rsid w:val="001D4D5A"/>
    <w:pPr>
      <w:tabs>
        <w:tab w:val="center" w:pos="4153"/>
        <w:tab w:val="right" w:pos="8306"/>
      </w:tabs>
      <w:spacing w:after="0"/>
      <w:ind w:firstLine="0"/>
    </w:pPr>
    <w:rPr>
      <w:rFonts w:asciiTheme="majorHAnsi" w:hAnsiTheme="majorHAnsi"/>
      <w:b/>
      <w:color w:val="9D3511" w:themeColor="accent1" w:themeShade="BF"/>
      <w:sz w:val="18"/>
      <w:szCs w:val="18"/>
    </w:rPr>
  </w:style>
  <w:style w:type="character" w:customStyle="1" w:styleId="HeaderChar">
    <w:name w:val="Header Char"/>
    <w:aliases w:val="18pt Bold Char"/>
    <w:basedOn w:val="DefaultParagraphFont"/>
    <w:link w:val="Header"/>
    <w:uiPriority w:val="99"/>
    <w:rsid w:val="001D4D5A"/>
    <w:rPr>
      <w:rFonts w:asciiTheme="majorHAnsi" w:hAnsiTheme="majorHAnsi"/>
      <w:b/>
      <w:color w:val="9D3511" w:themeColor="accent1" w:themeShade="BF"/>
      <w:sz w:val="18"/>
      <w:szCs w:val="18"/>
    </w:rPr>
  </w:style>
  <w:style w:type="character" w:styleId="Strong">
    <w:name w:val="Strong"/>
    <w:basedOn w:val="DefaultParagraphFont"/>
    <w:uiPriority w:val="22"/>
    <w:qFormat/>
    <w:rsid w:val="0028225B"/>
    <w:rPr>
      <w:rFonts w:ascii="Times New Roman" w:hAnsi="Times New Roman"/>
      <w:b/>
      <w:bCs/>
      <w:sz w:val="24"/>
    </w:rPr>
  </w:style>
  <w:style w:type="paragraph" w:customStyle="1" w:styleId="Zmjums">
    <w:name w:val="Zīmējums"/>
    <w:basedOn w:val="Normal"/>
    <w:rsid w:val="00233661"/>
    <w:pPr>
      <w:jc w:val="center"/>
    </w:pPr>
    <w:rPr>
      <w:rFonts w:ascii="Arial Narrow" w:eastAsia="SimSun" w:hAnsi="Arial Narrow" w:cs="Calibri"/>
      <w:sz w:val="18"/>
      <w:szCs w:val="28"/>
      <w:lang w:eastAsia="zh-CN"/>
    </w:rPr>
  </w:style>
  <w:style w:type="paragraph" w:customStyle="1" w:styleId="Normal2">
    <w:name w:val="Normal2"/>
    <w:rsid w:val="00233661"/>
    <w:pPr>
      <w:spacing w:line="240" w:lineRule="auto"/>
      <w:ind w:firstLine="567"/>
      <w:jc w:val="both"/>
    </w:pPr>
    <w:rPr>
      <w:rFonts w:ascii="Times New Roman" w:eastAsia="Times New Roman" w:hAnsi="Times New Roman" w:cs="Times New Roman"/>
      <w:color w:val="000000"/>
      <w:sz w:val="24"/>
      <w:lang w:eastAsia="zh-CN" w:bidi="lo-LA"/>
    </w:rPr>
  </w:style>
  <w:style w:type="paragraph" w:styleId="NoSpacing">
    <w:name w:val="No Spacing"/>
    <w:link w:val="NoSpacingChar"/>
    <w:uiPriority w:val="1"/>
    <w:qFormat/>
    <w:rsid w:val="006823C7"/>
    <w:pPr>
      <w:spacing w:after="0" w:line="240" w:lineRule="auto"/>
    </w:pPr>
  </w:style>
  <w:style w:type="character" w:customStyle="1" w:styleId="NoSpacingChar">
    <w:name w:val="No Spacing Char"/>
    <w:basedOn w:val="DefaultParagraphFont"/>
    <w:link w:val="NoSpacing"/>
    <w:uiPriority w:val="1"/>
    <w:rsid w:val="00883473"/>
  </w:style>
  <w:style w:type="character" w:styleId="Hyperlink">
    <w:name w:val="Hyperlink"/>
    <w:basedOn w:val="DefaultParagraphFont"/>
    <w:uiPriority w:val="99"/>
    <w:unhideWhenUsed/>
    <w:rsid w:val="00883473"/>
    <w:rPr>
      <w:color w:val="CC9900" w:themeColor="hyperlink"/>
      <w:u w:val="single"/>
    </w:rPr>
  </w:style>
  <w:style w:type="paragraph" w:styleId="TOCHeading">
    <w:name w:val="TOC Heading"/>
    <w:basedOn w:val="Heading1"/>
    <w:next w:val="Normal"/>
    <w:uiPriority w:val="39"/>
    <w:unhideWhenUsed/>
    <w:qFormat/>
    <w:rsid w:val="006823C7"/>
    <w:pPr>
      <w:outlineLvl w:val="9"/>
    </w:pPr>
  </w:style>
  <w:style w:type="paragraph" w:styleId="TOC2">
    <w:name w:val="toc 2"/>
    <w:basedOn w:val="Normal"/>
    <w:next w:val="Normal"/>
    <w:autoRedefine/>
    <w:uiPriority w:val="39"/>
    <w:unhideWhenUsed/>
    <w:rsid w:val="00883473"/>
    <w:pPr>
      <w:spacing w:after="100" w:line="276" w:lineRule="auto"/>
      <w:ind w:left="220"/>
    </w:pPr>
  </w:style>
  <w:style w:type="paragraph" w:styleId="TOC1">
    <w:name w:val="toc 1"/>
    <w:basedOn w:val="Normal"/>
    <w:next w:val="Normal"/>
    <w:autoRedefine/>
    <w:uiPriority w:val="39"/>
    <w:unhideWhenUsed/>
    <w:rsid w:val="00883473"/>
    <w:pPr>
      <w:spacing w:after="100" w:line="276" w:lineRule="auto"/>
    </w:pPr>
  </w:style>
  <w:style w:type="paragraph" w:customStyle="1" w:styleId="Nenumurtslielais">
    <w:name w:val="Nenumurēts lielais"/>
    <w:basedOn w:val="Heading1"/>
    <w:link w:val="NenumurtslielaisChar"/>
    <w:rsid w:val="00581249"/>
    <w:pPr>
      <w:keepLines w:val="0"/>
      <w:framePr w:wrap="notBeside" w:hAnchor="text"/>
      <w:spacing w:before="120"/>
    </w:pPr>
    <w:rPr>
      <w:b/>
      <w:bCs/>
      <w:caps/>
      <w:color w:val="000000"/>
      <w14:textFill>
        <w14:solidFill>
          <w14:srgbClr w14:val="000000">
            <w14:lumMod w14:val="75000"/>
          </w14:srgbClr>
        </w14:solidFill>
      </w14:textFill>
    </w:rPr>
  </w:style>
  <w:style w:type="character" w:customStyle="1" w:styleId="NenumurtslielaisChar">
    <w:name w:val="Nenumurēts lielais Char"/>
    <w:link w:val="Nenumurtslielais"/>
    <w:rsid w:val="00581249"/>
    <w:rPr>
      <w:rFonts w:ascii="Times New Roman" w:eastAsia="Times New Roman" w:hAnsi="Times New Roman" w:cs="Times New Roman"/>
      <w:b/>
      <w:bCs/>
      <w:caps/>
      <w:sz w:val="28"/>
      <w:szCs w:val="28"/>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5C63C6"/>
    <w:pPr>
      <w:spacing w:after="0"/>
    </w:pPr>
    <w:rPr>
      <w:rFonts w:eastAsia="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5C63C6"/>
    <w:rPr>
      <w:rFonts w:ascii="Times New Roman" w:eastAsia="Calibri"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6D304F"/>
    <w:rPr>
      <w:rFonts w:ascii="Times New Roman" w:hAnsi="Times New Roman"/>
      <w:sz w:val="24"/>
      <w:vertAlign w:val="superscript"/>
    </w:rPr>
  </w:style>
  <w:style w:type="paragraph" w:customStyle="1" w:styleId="CharCharCharChar">
    <w:name w:val="Char Char Char Char"/>
    <w:aliases w:val="Char2"/>
    <w:basedOn w:val="Normal"/>
    <w:next w:val="Normal"/>
    <w:link w:val="FootnoteReference"/>
    <w:uiPriority w:val="99"/>
    <w:rsid w:val="006D304F"/>
    <w:pPr>
      <w:spacing w:before="0" w:after="0"/>
      <w:textAlignment w:val="baseline"/>
    </w:pPr>
    <w:rPr>
      <w:vertAlign w:val="superscript"/>
    </w:rPr>
  </w:style>
  <w:style w:type="paragraph" w:customStyle="1" w:styleId="1limenis">
    <w:name w:val="1 limenis"/>
    <w:basedOn w:val="Normal"/>
    <w:rsid w:val="00354457"/>
    <w:pPr>
      <w:keepNext/>
      <w:keepLines/>
      <w:numPr>
        <w:numId w:val="3"/>
      </w:numPr>
      <w:spacing w:before="240"/>
      <w:jc w:val="center"/>
      <w:outlineLvl w:val="1"/>
    </w:pPr>
    <w:rPr>
      <w:rFonts w:eastAsia="Times New Roman" w:cs="Times New Roman"/>
      <w:b/>
      <w:caps/>
      <w:spacing w:val="2"/>
      <w:szCs w:val="24"/>
      <w:lang w:eastAsia="lv-LV"/>
    </w:rPr>
  </w:style>
  <w:style w:type="paragraph" w:customStyle="1" w:styleId="2limenis">
    <w:name w:val="2 limenis"/>
    <w:basedOn w:val="Normal"/>
    <w:rsid w:val="00354457"/>
    <w:pPr>
      <w:keepLines/>
      <w:numPr>
        <w:ilvl w:val="1"/>
        <w:numId w:val="3"/>
      </w:numPr>
      <w:spacing w:before="120" w:after="0" w:line="276" w:lineRule="auto"/>
    </w:pPr>
    <w:rPr>
      <w:rFonts w:eastAsia="Times New Roman" w:cs="Times New Roman"/>
      <w:spacing w:val="-3"/>
      <w:szCs w:val="24"/>
    </w:rPr>
  </w:style>
  <w:style w:type="paragraph" w:customStyle="1" w:styleId="3limenis">
    <w:name w:val="3 limenis"/>
    <w:basedOn w:val="Normal"/>
    <w:rsid w:val="00354457"/>
    <w:pPr>
      <w:keepLines/>
      <w:numPr>
        <w:ilvl w:val="2"/>
        <w:numId w:val="3"/>
      </w:numPr>
      <w:tabs>
        <w:tab w:val="num" w:pos="814"/>
        <w:tab w:val="clear" w:pos="927"/>
      </w:tabs>
      <w:spacing w:before="120" w:after="0" w:line="276" w:lineRule="auto"/>
      <w:ind w:left="794" w:right="43"/>
    </w:pPr>
    <w:rPr>
      <w:rFonts w:eastAsia="Times New Roman" w:cs="Times New Roman"/>
      <w:spacing w:val="2"/>
    </w:rPr>
  </w:style>
  <w:style w:type="paragraph" w:customStyle="1" w:styleId="Default">
    <w:name w:val="Default"/>
    <w:rsid w:val="004F2775"/>
    <w:pPr>
      <w:autoSpaceDE w:val="0"/>
      <w:autoSpaceDN w:val="0"/>
      <w:adjustRightInd w:val="0"/>
      <w:spacing w:after="0" w:line="240" w:lineRule="auto"/>
    </w:pPr>
    <w:rPr>
      <w:rFonts w:ascii="Verdana" w:hAnsi="Verdana" w:cs="Verdana"/>
      <w:color w:val="000000"/>
      <w:sz w:val="24"/>
      <w:szCs w:val="24"/>
      <w:lang w:val="en-US"/>
    </w:rPr>
  </w:style>
  <w:style w:type="character" w:customStyle="1" w:styleId="NumberedFChar">
    <w:name w:val="Numbered F Char"/>
    <w:link w:val="NumberedF"/>
    <w:rsid w:val="0034116C"/>
    <w:rPr>
      <w:rFonts w:ascii="Times New Roman" w:hAnsi="Times New Roman" w:cs="Arial Unicode MS"/>
      <w:sz w:val="24"/>
      <w:lang w:eastAsia="zh-CN" w:bidi="lo-LA"/>
    </w:rPr>
  </w:style>
  <w:style w:type="paragraph" w:styleId="BalloonText">
    <w:name w:val="Balloon Text"/>
    <w:basedOn w:val="Normal"/>
    <w:link w:val="BalloonTextChar"/>
    <w:uiPriority w:val="99"/>
    <w:semiHidden/>
    <w:unhideWhenUsed/>
    <w:rsid w:val="008858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2E"/>
    <w:rPr>
      <w:rFonts w:ascii="Segoe UI" w:hAnsi="Segoe UI" w:cs="Segoe UI"/>
      <w:sz w:val="18"/>
      <w:szCs w:val="18"/>
    </w:rPr>
  </w:style>
  <w:style w:type="table" w:customStyle="1" w:styleId="ListTable3-Accent11">
    <w:name w:val="List Table 3 - Accent 11"/>
    <w:basedOn w:val="TableNormal"/>
    <w:uiPriority w:val="48"/>
    <w:rsid w:val="00DF331F"/>
    <w:pPr>
      <w:spacing w:after="0" w:line="240" w:lineRule="auto"/>
    </w:pPr>
    <w:rPr>
      <w:rFonts w:ascii="Times New Roman" w:hAnsi="Times New Roman"/>
      <w:sz w:val="28"/>
    </w:rPr>
    <w:tblPr>
      <w:tblStyleRowBandSize w:val="1"/>
      <w:tblStyleColBandSize w:val="1"/>
      <w:tblBorders>
        <w:top w:val="single" w:sz="4" w:space="0" w:color="D34817" w:themeColor="accent1"/>
        <w:left w:val="single" w:sz="4" w:space="0" w:color="D34817" w:themeColor="accent1"/>
        <w:bottom w:val="single" w:sz="4" w:space="0" w:color="D34817" w:themeColor="accent1"/>
        <w:right w:val="single" w:sz="4" w:space="0" w:color="D34817" w:themeColor="accent1"/>
      </w:tblBorders>
    </w:tblPr>
    <w:tblStylePr w:type="firstRow">
      <w:rPr>
        <w:b/>
        <w:bCs/>
        <w:color w:val="FFFFFF" w:themeColor="background1"/>
      </w:rPr>
      <w:tblPr/>
      <w:tcPr>
        <w:shd w:val="clear" w:color="auto" w:fill="D34817" w:themeFill="accent1"/>
      </w:tcPr>
    </w:tblStylePr>
    <w:tblStylePr w:type="lastRow">
      <w:rPr>
        <w:b/>
        <w:bCs/>
      </w:rPr>
      <w:tblPr/>
      <w:tcPr>
        <w:tcBorders>
          <w:top w:val="double" w:sz="4" w:space="0" w:color="D3481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817" w:themeColor="accent1"/>
          <w:right w:val="single" w:sz="4" w:space="0" w:color="D34817" w:themeColor="accent1"/>
        </w:tcBorders>
      </w:tcPr>
    </w:tblStylePr>
    <w:tblStylePr w:type="band1Horz">
      <w:tblPr/>
      <w:tcPr>
        <w:tcBorders>
          <w:top w:val="single" w:sz="4" w:space="0" w:color="D34817" w:themeColor="accent1"/>
          <w:bottom w:val="single" w:sz="4" w:space="0" w:color="D3481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817" w:themeColor="accent1"/>
          <w:left w:val="nil"/>
        </w:tcBorders>
      </w:tcPr>
    </w:tblStylePr>
    <w:tblStylePr w:type="swCell">
      <w:tblPr/>
      <w:tcPr>
        <w:tcBorders>
          <w:top w:val="double" w:sz="4" w:space="0" w:color="D34817" w:themeColor="accent1"/>
          <w:right w:val="nil"/>
        </w:tcBorders>
      </w:tcPr>
    </w:tblStylePr>
  </w:style>
  <w:style w:type="character" w:styleId="CommentReference">
    <w:name w:val="annotation reference"/>
    <w:basedOn w:val="DefaultParagraphFont"/>
    <w:uiPriority w:val="99"/>
    <w:semiHidden/>
    <w:unhideWhenUsed/>
    <w:rsid w:val="00592B2B"/>
    <w:rPr>
      <w:sz w:val="16"/>
      <w:szCs w:val="16"/>
    </w:rPr>
  </w:style>
  <w:style w:type="paragraph" w:styleId="CommentText">
    <w:name w:val="annotation text"/>
    <w:basedOn w:val="Normal"/>
    <w:link w:val="CommentTextChar"/>
    <w:uiPriority w:val="99"/>
    <w:unhideWhenUsed/>
    <w:rsid w:val="00592B2B"/>
    <w:rPr>
      <w:sz w:val="20"/>
      <w:szCs w:val="20"/>
    </w:rPr>
  </w:style>
  <w:style w:type="character" w:customStyle="1" w:styleId="CommentTextChar">
    <w:name w:val="Comment Text Char"/>
    <w:basedOn w:val="DefaultParagraphFont"/>
    <w:link w:val="CommentText"/>
    <w:uiPriority w:val="99"/>
    <w:rsid w:val="00592B2B"/>
    <w:rPr>
      <w:sz w:val="20"/>
      <w:szCs w:val="20"/>
    </w:rPr>
  </w:style>
  <w:style w:type="paragraph" w:styleId="CommentSubject">
    <w:name w:val="annotation subject"/>
    <w:basedOn w:val="CommentText"/>
    <w:next w:val="CommentText"/>
    <w:link w:val="CommentSubjectChar"/>
    <w:uiPriority w:val="99"/>
    <w:semiHidden/>
    <w:unhideWhenUsed/>
    <w:rsid w:val="00592B2B"/>
    <w:rPr>
      <w:b/>
      <w:bCs/>
    </w:rPr>
  </w:style>
  <w:style w:type="character" w:customStyle="1" w:styleId="CommentSubjectChar">
    <w:name w:val="Comment Subject Char"/>
    <w:basedOn w:val="CommentTextChar"/>
    <w:link w:val="CommentSubject"/>
    <w:uiPriority w:val="99"/>
    <w:semiHidden/>
    <w:rsid w:val="00592B2B"/>
    <w:rPr>
      <w:b/>
      <w:bCs/>
      <w:sz w:val="20"/>
      <w:szCs w:val="20"/>
    </w:rPr>
  </w:style>
  <w:style w:type="paragraph" w:styleId="Revision">
    <w:name w:val="Revision"/>
    <w:hidden/>
    <w:uiPriority w:val="99"/>
    <w:semiHidden/>
    <w:rsid w:val="00AF03D8"/>
    <w:pPr>
      <w:spacing w:after="0" w:line="240" w:lineRule="auto"/>
    </w:pPr>
  </w:style>
  <w:style w:type="table" w:customStyle="1" w:styleId="PlainTable41">
    <w:name w:val="Plain Table 41"/>
    <w:basedOn w:val="TableNormal"/>
    <w:uiPriority w:val="44"/>
    <w:rsid w:val="008B2C92"/>
    <w:pPr>
      <w:spacing w:after="0" w:line="240" w:lineRule="auto"/>
    </w:pPr>
    <w:rPr>
      <w:rFonts w:ascii="Times New Roman" w:hAnsi="Times New Roman"/>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hone">
    <w:name w:val="phone"/>
    <w:basedOn w:val="DefaultParagraphFont"/>
    <w:rsid w:val="00112E68"/>
  </w:style>
  <w:style w:type="paragraph" w:customStyle="1" w:styleId="tv2132">
    <w:name w:val="tv2132"/>
    <w:basedOn w:val="Normal"/>
    <w:rsid w:val="00BF082F"/>
    <w:pPr>
      <w:spacing w:after="0" w:line="360" w:lineRule="auto"/>
      <w:ind w:firstLine="300"/>
    </w:pPr>
    <w:rPr>
      <w:rFonts w:eastAsia="Times New Roman" w:cs="Times New Roman"/>
      <w:color w:val="414142"/>
      <w:sz w:val="20"/>
      <w:szCs w:val="20"/>
      <w:lang w:eastAsia="lv-LV"/>
    </w:rPr>
  </w:style>
  <w:style w:type="character" w:customStyle="1" w:styleId="Heading2Char">
    <w:name w:val="Heading 2 Char"/>
    <w:basedOn w:val="DefaultParagraphFont"/>
    <w:link w:val="Heading2"/>
    <w:uiPriority w:val="9"/>
    <w:rsid w:val="00AF4E00"/>
    <w:rPr>
      <w:rFonts w:ascii="Times New Roman" w:hAnsi="Times New Roman" w:eastAsiaTheme="majorEastAsia" w:cstheme="majorBidi"/>
      <w:color w:val="9D3511" w:themeColor="accent1" w:themeShade="BF"/>
      <w:sz w:val="28"/>
      <w:szCs w:val="28"/>
    </w:rPr>
  </w:style>
  <w:style w:type="character" w:customStyle="1" w:styleId="Heading3Char">
    <w:name w:val="Heading 3 Char"/>
    <w:basedOn w:val="DefaultParagraphFont"/>
    <w:link w:val="Heading3"/>
    <w:uiPriority w:val="9"/>
    <w:rsid w:val="002B6E1D"/>
    <w:rPr>
      <w:rFonts w:ascii="Times New Roman" w:hAnsi="Times New Roman" w:eastAsiaTheme="majorEastAsia" w:cstheme="majorBidi"/>
      <w:color w:val="9D3511" w:themeColor="accent1" w:themeShade="BF"/>
      <w:sz w:val="26"/>
      <w:szCs w:val="26"/>
    </w:rPr>
  </w:style>
  <w:style w:type="paragraph" w:customStyle="1" w:styleId="Header2">
    <w:name w:val="Header 2"/>
    <w:basedOn w:val="Normal"/>
    <w:autoRedefine/>
    <w:rsid w:val="00D47FCB"/>
    <w:pPr>
      <w:spacing w:before="240" w:after="120"/>
      <w:ind w:left="1134"/>
    </w:pPr>
    <w:rPr>
      <w:rFonts w:cs="Times New Roman"/>
      <w:b/>
      <w:color w:val="9D3511" w:themeColor="accent1" w:themeShade="BF"/>
      <w:szCs w:val="32"/>
    </w:rPr>
  </w:style>
  <w:style w:type="paragraph" w:styleId="TOC3">
    <w:name w:val="toc 3"/>
    <w:basedOn w:val="Normal"/>
    <w:next w:val="Normal"/>
    <w:autoRedefine/>
    <w:uiPriority w:val="39"/>
    <w:unhideWhenUsed/>
    <w:rsid w:val="00C632CA"/>
    <w:pPr>
      <w:spacing w:after="100"/>
      <w:ind w:left="480"/>
    </w:pPr>
  </w:style>
  <w:style w:type="paragraph" w:customStyle="1" w:styleId="BulletF">
    <w:name w:val="Bullet F"/>
    <w:basedOn w:val="Normal"/>
    <w:autoRedefine/>
    <w:rsid w:val="00242B92"/>
    <w:pPr>
      <w:numPr>
        <w:numId w:val="14"/>
      </w:numPr>
      <w:tabs>
        <w:tab w:val="left" w:pos="284"/>
        <w:tab w:val="left" w:leader="dot" w:pos="397"/>
        <w:tab w:val="left" w:pos="567"/>
      </w:tabs>
      <w:ind w:left="0" w:firstLine="567"/>
    </w:pPr>
    <w:rPr>
      <w:rFonts w:eastAsia="SimSun" w:cs="Times New Roman"/>
      <w:szCs w:val="24"/>
      <w:lang w:eastAsia="zh-CN" w:bidi="lo-LA"/>
    </w:rPr>
  </w:style>
  <w:style w:type="paragraph" w:styleId="BodyTextIndent">
    <w:name w:val="Body Text Indent"/>
    <w:basedOn w:val="Normal"/>
    <w:link w:val="BodyTextIndentChar"/>
    <w:uiPriority w:val="99"/>
    <w:rsid w:val="00E51091"/>
    <w:pPr>
      <w:spacing w:before="0" w:after="0"/>
    </w:pPr>
    <w:rPr>
      <w:rFonts w:eastAsia="Times New Roman" w:cs="Times New Roman"/>
      <w:bCs/>
      <w:iCs/>
      <w:sz w:val="26"/>
      <w:szCs w:val="26"/>
    </w:rPr>
  </w:style>
  <w:style w:type="character" w:customStyle="1" w:styleId="BodyTextIndentChar">
    <w:name w:val="Body Text Indent Char"/>
    <w:basedOn w:val="DefaultParagraphFont"/>
    <w:link w:val="BodyTextIndent"/>
    <w:uiPriority w:val="99"/>
    <w:rsid w:val="00E51091"/>
    <w:rPr>
      <w:rFonts w:ascii="Times New Roman" w:eastAsia="Times New Roman" w:hAnsi="Times New Roman" w:cs="Times New Roman"/>
      <w:bCs/>
      <w:iCs/>
      <w:sz w:val="26"/>
      <w:szCs w:val="26"/>
    </w:rPr>
  </w:style>
  <w:style w:type="paragraph" w:customStyle="1" w:styleId="Header3">
    <w:name w:val="Header 3"/>
    <w:basedOn w:val="Header2"/>
    <w:autoRedefine/>
    <w:rsid w:val="00BD12F7"/>
    <w:pPr>
      <w:ind w:firstLine="720"/>
    </w:pPr>
    <w:rPr>
      <w:rFonts w:eastAsiaTheme="majorEastAsia" w:cstheme="majorBidi"/>
      <w:b w:val="0"/>
      <w:szCs w:val="24"/>
    </w:rPr>
  </w:style>
  <w:style w:type="character" w:styleId="FollowedHyperlink">
    <w:name w:val="FollowedHyperlink"/>
    <w:basedOn w:val="DefaultParagraphFont"/>
    <w:uiPriority w:val="99"/>
    <w:semiHidden/>
    <w:unhideWhenUsed/>
    <w:rsid w:val="00475D4C"/>
    <w:rPr>
      <w:color w:val="96A9A9" w:themeColor="followedHyperlink"/>
      <w:u w:val="single"/>
    </w:rPr>
  </w:style>
  <w:style w:type="character" w:styleId="SubtleReference">
    <w:name w:val="Subtle Reference"/>
    <w:basedOn w:val="DefaultParagraphFont"/>
    <w:uiPriority w:val="31"/>
    <w:qFormat/>
    <w:rsid w:val="006823C7"/>
    <w:rPr>
      <w:smallCaps/>
      <w:color w:val="404040" w:themeColor="text1" w:themeTint="BF"/>
    </w:rPr>
  </w:style>
  <w:style w:type="character" w:customStyle="1" w:styleId="Heading5Char">
    <w:name w:val="Heading 5 Char"/>
    <w:basedOn w:val="DefaultParagraphFont"/>
    <w:link w:val="Heading5"/>
    <w:uiPriority w:val="9"/>
    <w:semiHidden/>
    <w:rsid w:val="006823C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23C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23C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23C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23C7"/>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6823C7"/>
    <w:pPr>
      <w:spacing w:after="0"/>
      <w:contextualSpacing/>
    </w:pPr>
    <w:rPr>
      <w:rFonts w:asciiTheme="majorHAnsi" w:eastAsiaTheme="majorEastAsia" w:hAnsiTheme="majorHAnsi" w:cstheme="majorBidi"/>
      <w:color w:val="9D3511" w:themeColor="accent1" w:themeShade="BF"/>
      <w:spacing w:val="-7"/>
      <w:sz w:val="80"/>
      <w:szCs w:val="80"/>
    </w:rPr>
  </w:style>
  <w:style w:type="character" w:customStyle="1" w:styleId="TitleChar">
    <w:name w:val="Title Char"/>
    <w:basedOn w:val="DefaultParagraphFont"/>
    <w:link w:val="Title"/>
    <w:uiPriority w:val="10"/>
    <w:rsid w:val="006823C7"/>
    <w:rPr>
      <w:rFonts w:asciiTheme="majorHAnsi" w:eastAsiaTheme="majorEastAsia" w:hAnsiTheme="majorHAnsi" w:cstheme="majorBidi"/>
      <w:color w:val="9D3511" w:themeColor="accent1" w:themeShade="BF"/>
      <w:spacing w:val="-7"/>
      <w:sz w:val="80"/>
      <w:szCs w:val="80"/>
    </w:rPr>
  </w:style>
  <w:style w:type="paragraph" w:styleId="Subtitle">
    <w:name w:val="Subtitle"/>
    <w:basedOn w:val="Normal"/>
    <w:next w:val="Normal"/>
    <w:link w:val="SubtitleChar"/>
    <w:uiPriority w:val="11"/>
    <w:qFormat/>
    <w:rsid w:val="006823C7"/>
    <w:pPr>
      <w:numPr>
        <w:ilvl w:val="1"/>
      </w:numPr>
      <w:spacing w:after="240"/>
      <w:ind w:firstLine="3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23C7"/>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6823C7"/>
    <w:rPr>
      <w:i/>
      <w:iCs/>
    </w:rPr>
  </w:style>
  <w:style w:type="paragraph" w:styleId="Quote">
    <w:name w:val="Quote"/>
    <w:basedOn w:val="Normal"/>
    <w:next w:val="Normal"/>
    <w:link w:val="QuoteChar"/>
    <w:uiPriority w:val="29"/>
    <w:qFormat/>
    <w:rsid w:val="006823C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23C7"/>
    <w:rPr>
      <w:i/>
      <w:iCs/>
    </w:rPr>
  </w:style>
  <w:style w:type="paragraph" w:styleId="IntenseQuote">
    <w:name w:val="Intense Quote"/>
    <w:basedOn w:val="Normal"/>
    <w:next w:val="Normal"/>
    <w:link w:val="IntenseQuoteChar"/>
    <w:uiPriority w:val="30"/>
    <w:qFormat/>
    <w:rsid w:val="006823C7"/>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IntenseQuoteChar">
    <w:name w:val="Intense Quote Char"/>
    <w:basedOn w:val="DefaultParagraphFont"/>
    <w:link w:val="IntenseQuote"/>
    <w:uiPriority w:val="30"/>
    <w:rsid w:val="006823C7"/>
    <w:rPr>
      <w:rFonts w:asciiTheme="majorHAnsi" w:eastAsiaTheme="majorEastAsia" w:hAnsiTheme="majorHAnsi" w:cstheme="majorBidi"/>
      <w:color w:val="D34817" w:themeColor="accent1"/>
      <w:sz w:val="28"/>
      <w:szCs w:val="28"/>
    </w:rPr>
  </w:style>
  <w:style w:type="character" w:styleId="SubtleEmphasis">
    <w:name w:val="Subtle Emphasis"/>
    <w:basedOn w:val="DefaultParagraphFont"/>
    <w:uiPriority w:val="19"/>
    <w:qFormat/>
    <w:rsid w:val="006823C7"/>
    <w:rPr>
      <w:i/>
      <w:iCs/>
      <w:color w:val="595959" w:themeColor="text1" w:themeTint="A6"/>
    </w:rPr>
  </w:style>
  <w:style w:type="character" w:styleId="IntenseEmphasis">
    <w:name w:val="Intense Emphasis"/>
    <w:basedOn w:val="DefaultParagraphFont"/>
    <w:uiPriority w:val="21"/>
    <w:qFormat/>
    <w:rsid w:val="006823C7"/>
    <w:rPr>
      <w:b/>
      <w:bCs/>
      <w:i/>
      <w:iCs/>
    </w:rPr>
  </w:style>
  <w:style w:type="character" w:styleId="IntenseReference">
    <w:name w:val="Intense Reference"/>
    <w:basedOn w:val="DefaultParagraphFont"/>
    <w:uiPriority w:val="32"/>
    <w:qFormat/>
    <w:rsid w:val="006823C7"/>
    <w:rPr>
      <w:b/>
      <w:bCs/>
      <w:smallCaps/>
      <w:u w:val="single"/>
    </w:rPr>
  </w:style>
  <w:style w:type="character" w:styleId="BookTitle">
    <w:name w:val="Book Title"/>
    <w:basedOn w:val="DefaultParagraphFont"/>
    <w:uiPriority w:val="33"/>
    <w:qFormat/>
    <w:rsid w:val="006823C7"/>
    <w:rPr>
      <w:b/>
      <w:bCs/>
      <w:smallCaps/>
    </w:rPr>
  </w:style>
  <w:style w:type="table" w:customStyle="1" w:styleId="GridTable21">
    <w:name w:val="Grid Table 21"/>
    <w:basedOn w:val="TableNormal"/>
    <w:uiPriority w:val="47"/>
    <w:rsid w:val="006823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41">
    <w:name w:val="List Table 4 - Accent 41"/>
    <w:basedOn w:val="TableNormal"/>
    <w:uiPriority w:val="49"/>
    <w:rsid w:val="006823C7"/>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tcBorders>
        <w:shd w:val="clear" w:color="auto" w:fill="956251" w:themeFill="accent4"/>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character" w:customStyle="1" w:styleId="apple-converted-space">
    <w:name w:val="apple-converted-space"/>
    <w:basedOn w:val="DefaultParagraphFont"/>
    <w:rsid w:val="00B111C4"/>
  </w:style>
  <w:style w:type="character" w:customStyle="1" w:styleId="xdtextbox1">
    <w:name w:val="xdtextbox1"/>
    <w:basedOn w:val="DefaultParagraphFont"/>
    <w:rsid w:val="00737205"/>
    <w:rPr>
      <w:color w:val="auto"/>
      <w:bdr w:val="single" w:sz="8" w:space="1" w:color="DCDCDC" w:frame="1"/>
      <w:shd w:val="clear" w:color="auto" w:fill="FFFFFF"/>
    </w:rPr>
  </w:style>
  <w:style w:type="paragraph" w:customStyle="1" w:styleId="BulletA">
    <w:name w:val="Bullet A"/>
    <w:basedOn w:val="Normal"/>
    <w:qFormat/>
    <w:rsid w:val="004D3AF2"/>
    <w:pPr>
      <w:numPr>
        <w:numId w:val="4"/>
      </w:numPr>
    </w:pPr>
    <w:rPr>
      <w:szCs w:val="24"/>
    </w:rPr>
  </w:style>
  <w:style w:type="paragraph" w:customStyle="1" w:styleId="BulletFf">
    <w:name w:val="Bullet F f"/>
    <w:basedOn w:val="NumberedF"/>
    <w:qFormat/>
    <w:rsid w:val="00607089"/>
  </w:style>
  <w:style w:type="table" w:customStyle="1" w:styleId="GridTable4-Accent41">
    <w:name w:val="Grid Table 4 - Accent 41"/>
    <w:basedOn w:val="TableNormal"/>
    <w:uiPriority w:val="49"/>
    <w:rsid w:val="00C60644"/>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insideV w:val="nil"/>
        </w:tcBorders>
        <w:shd w:val="clear" w:color="auto" w:fill="956251" w:themeFill="accent4"/>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paragraph" w:customStyle="1" w:styleId="GridTableX">
    <w:name w:val="Grid Table X"/>
    <w:basedOn w:val="Normal"/>
    <w:qFormat/>
    <w:rsid w:val="001165F4"/>
    <w:pPr>
      <w:jc w:val="center"/>
    </w:pPr>
    <w:rPr>
      <w:rFonts w:eastAsia="Candara" w:cs="Times New Roman"/>
      <w:b/>
      <w:bCs/>
      <w:sz w:val="20"/>
      <w:szCs w:val="20"/>
    </w:rPr>
  </w:style>
  <w:style w:type="paragraph" w:customStyle="1" w:styleId="BulletsA">
    <w:name w:val="Bullets A"/>
    <w:basedOn w:val="BulletsF"/>
    <w:qFormat/>
    <w:rsid w:val="0048656C"/>
    <w:pPr>
      <w:ind w:left="1080" w:hanging="360"/>
    </w:pPr>
    <w:rPr>
      <w:lang w:eastAsia="zh-CN" w:bidi="lo-LA"/>
    </w:rPr>
  </w:style>
  <w:style w:type="table" w:customStyle="1" w:styleId="GridTable1Light-Accent41">
    <w:name w:val="Grid Table 1 Light - Accent 41"/>
    <w:basedOn w:val="TableNormal"/>
    <w:uiPriority w:val="46"/>
    <w:rsid w:val="00B24F60"/>
    <w:pPr>
      <w:spacing w:after="0" w:line="240" w:lineRule="auto"/>
    </w:pPr>
    <w:tblPr>
      <w:tblStyleRowBandSize w:val="1"/>
      <w:tblStyleColBandSize w:val="1"/>
      <w:tblBorders>
        <w:top w:val="single" w:sz="4" w:space="0" w:color="D7BEB6" w:themeColor="accent4" w:themeTint="66"/>
        <w:left w:val="single" w:sz="4" w:space="0" w:color="D7BEB6" w:themeColor="accent4" w:themeTint="66"/>
        <w:bottom w:val="single" w:sz="4" w:space="0" w:color="D7BEB6" w:themeColor="accent4" w:themeTint="66"/>
        <w:right w:val="single" w:sz="4" w:space="0" w:color="D7BEB6" w:themeColor="accent4" w:themeTint="66"/>
        <w:insideH w:val="single" w:sz="4" w:space="0" w:color="D7BEB6" w:themeColor="accent4" w:themeTint="66"/>
        <w:insideV w:val="single" w:sz="4" w:space="0" w:color="D7BEB6" w:themeColor="accent4" w:themeTint="66"/>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2" w:space="0" w:color="C39E92"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B24F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knoteik1">
    <w:name w:val="lik_noteik1"/>
    <w:basedOn w:val="Normal"/>
    <w:rsid w:val="00DD6E68"/>
    <w:pPr>
      <w:spacing w:before="100" w:beforeAutospacing="1" w:after="100" w:afterAutospacing="1" w:line="360" w:lineRule="auto"/>
      <w:ind w:firstLine="300"/>
      <w:jc w:val="right"/>
    </w:pPr>
    <w:rPr>
      <w:rFonts w:eastAsia="Times New Roman" w:cs="Times New Roman"/>
      <w:b/>
      <w:bCs/>
      <w:color w:val="414142"/>
      <w:sz w:val="20"/>
      <w:szCs w:val="20"/>
      <w:lang w:eastAsia="lv-LV"/>
    </w:rPr>
  </w:style>
  <w:style w:type="paragraph" w:customStyle="1" w:styleId="Headind4r3">
    <w:name w:val="Headind 4r 3"/>
    <w:basedOn w:val="Header3"/>
    <w:qFormat/>
    <w:rsid w:val="007E1981"/>
  </w:style>
  <w:style w:type="paragraph" w:customStyle="1" w:styleId="Noramal">
    <w:name w:val="Noramal"/>
    <w:basedOn w:val="BulletF"/>
    <w:qFormat/>
    <w:rsid w:val="00EC19AE"/>
    <w:pPr>
      <w:numPr>
        <w:numId w:val="0"/>
      </w:numPr>
      <w:ind w:left="714" w:hanging="357"/>
    </w:pPr>
  </w:style>
  <w:style w:type="character" w:customStyle="1" w:styleId="st1">
    <w:name w:val="st1"/>
    <w:basedOn w:val="DefaultParagraphFont"/>
    <w:rsid w:val="004565A1"/>
  </w:style>
  <w:style w:type="table" w:customStyle="1" w:styleId="PlainTable11">
    <w:name w:val="Plain Table 11"/>
    <w:basedOn w:val="TableNormal"/>
    <w:uiPriority w:val="41"/>
    <w:rsid w:val="00CA3F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2A67A0"/>
    <w:pPr>
      <w:spacing w:before="0" w:after="0"/>
      <w:jc w:val="left"/>
    </w:pPr>
    <w:rPr>
      <w:rFonts w:ascii="Calibri" w:eastAsia="Calibri" w:hAnsi="Calibri" w:cs="Times New Roman"/>
      <w:color w:val="1F497D"/>
      <w:sz w:val="22"/>
      <w:lang w:val="x-none"/>
    </w:rPr>
  </w:style>
  <w:style w:type="character" w:customStyle="1" w:styleId="PlainTextChar">
    <w:name w:val="Plain Text Char"/>
    <w:basedOn w:val="DefaultParagraphFont"/>
    <w:link w:val="PlainText"/>
    <w:uiPriority w:val="99"/>
    <w:rsid w:val="002A67A0"/>
    <w:rPr>
      <w:rFonts w:ascii="Calibri" w:eastAsia="Calibri" w:hAnsi="Calibri" w:cs="Times New Roman"/>
      <w:color w:val="1F497D"/>
      <w:sz w:val="22"/>
      <w:lang w:val="x-none"/>
    </w:rPr>
  </w:style>
  <w:style w:type="paragraph" w:customStyle="1" w:styleId="Noraml">
    <w:name w:val="Noraml"/>
    <w:basedOn w:val="BulletF"/>
    <w:qFormat/>
    <w:rsid w:val="00A1566A"/>
  </w:style>
  <w:style w:type="paragraph" w:customStyle="1" w:styleId="CM1">
    <w:name w:val="CM1"/>
    <w:basedOn w:val="Default"/>
    <w:next w:val="Default"/>
    <w:uiPriority w:val="99"/>
    <w:rsid w:val="00E636C6"/>
    <w:rPr>
      <w:rFonts w:ascii="EUAlbertina" w:hAnsi="EUAlbertina" w:cstheme="minorBidi"/>
      <w:color w:val="auto"/>
      <w:lang w:val="lv-LV"/>
    </w:rPr>
  </w:style>
  <w:style w:type="paragraph" w:customStyle="1" w:styleId="CM3">
    <w:name w:val="CM3"/>
    <w:basedOn w:val="Default"/>
    <w:next w:val="Default"/>
    <w:uiPriority w:val="99"/>
    <w:rsid w:val="00E636C6"/>
    <w:rPr>
      <w:rFonts w:ascii="EUAlbertina" w:hAnsi="EUAlbertina" w:cstheme="minorBidi"/>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7/relationships/diagramDrawing" Target="diagrams/drawing1.xml" /><Relationship Id="rId12" Type="http://schemas.openxmlformats.org/officeDocument/2006/relationships/diagramData" Target="diagrams/data1.xml" /><Relationship Id="rId13" Type="http://schemas.openxmlformats.org/officeDocument/2006/relationships/diagramLayout" Target="diagrams/layout1.xml" /><Relationship Id="rId14" Type="http://schemas.openxmlformats.org/officeDocument/2006/relationships/diagramQuickStyle" Target="diagrams/quickStyle1.xml" /><Relationship Id="rId15" Type="http://schemas.openxmlformats.org/officeDocument/2006/relationships/diagramColors" Target="diagrams/colors1.xml" /><Relationship Id="rId16" Type="http://schemas.microsoft.com/office/2007/relationships/diagramDrawing" Target="diagrams/drawing2.xml" /><Relationship Id="rId17" Type="http://schemas.openxmlformats.org/officeDocument/2006/relationships/diagramData" Target="diagrams/data2.xml" /><Relationship Id="rId18" Type="http://schemas.openxmlformats.org/officeDocument/2006/relationships/diagramLayout" Target="diagrams/layout2.xml" /><Relationship Id="rId19" Type="http://schemas.openxmlformats.org/officeDocument/2006/relationships/diagramQuickStyle" Target="diagrams/quickStyle2.xml" /><Relationship Id="rId2" Type="http://schemas.openxmlformats.org/officeDocument/2006/relationships/settings" Target="settings.xml" /><Relationship Id="rId20" Type="http://schemas.openxmlformats.org/officeDocument/2006/relationships/diagramColors" Target="diagrams/colors2.xml" /><Relationship Id="rId21" Type="http://schemas.openxmlformats.org/officeDocument/2006/relationships/image" Target="media/image1.png" /><Relationship Id="rId22" Type="http://schemas.openxmlformats.org/officeDocument/2006/relationships/chart" Target="charts/chart1.xml" /><Relationship Id="rId23" Type="http://schemas.openxmlformats.org/officeDocument/2006/relationships/chart" Target="charts/chart2.xml" /><Relationship Id="rId24" Type="http://schemas.openxmlformats.org/officeDocument/2006/relationships/chart" Target="charts/chart3.xml" /><Relationship Id="rId25" Type="http://schemas.openxmlformats.org/officeDocument/2006/relationships/chart" Target="charts/chart4.xml" /><Relationship Id="rId26" Type="http://schemas.openxmlformats.org/officeDocument/2006/relationships/chart" Target="charts/chart5.xml" /><Relationship Id="rId27" Type="http://schemas.openxmlformats.org/officeDocument/2006/relationships/chart" Target="charts/chart6.xml" /><Relationship Id="rId28" Type="http://schemas.openxmlformats.org/officeDocument/2006/relationships/image" Target="media/image2.png" /><Relationship Id="rId29" Type="http://schemas.openxmlformats.org/officeDocument/2006/relationships/chart" Target="charts/chart7.xml" /><Relationship Id="rId3" Type="http://schemas.openxmlformats.org/officeDocument/2006/relationships/webSettings" Target="webSettings.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chart" Target="charts/chart13.xml" /><Relationship Id="rId36" Type="http://schemas.openxmlformats.org/officeDocument/2006/relationships/chart" Target="charts/chart14.xml" /><Relationship Id="rId37" Type="http://schemas.openxmlformats.org/officeDocument/2006/relationships/header" Target="header3.xml" /><Relationship Id="rId38" Type="http://schemas.openxmlformats.org/officeDocument/2006/relationships/footer" Target="footer4.xml" /><Relationship Id="rId39" Type="http://schemas.openxmlformats.org/officeDocument/2006/relationships/footer" Target="footer5.xml" /><Relationship Id="rId4" Type="http://schemas.openxmlformats.org/officeDocument/2006/relationships/fontTable" Target="fontTable.xml" /><Relationship Id="rId40" Type="http://schemas.openxmlformats.org/officeDocument/2006/relationships/footer" Target="footer6.xml" /><Relationship Id="rId41" Type="http://schemas.openxmlformats.org/officeDocument/2006/relationships/image" Target="media/image3.emf" /><Relationship Id="rId42" Type="http://schemas.openxmlformats.org/officeDocument/2006/relationships/oleObject" Target="embeddings/oleObject1.xls" /><Relationship Id="rId43" Type="http://schemas.openxmlformats.org/officeDocument/2006/relationships/header" Target="header4.xml" /><Relationship Id="rId44" Type="http://schemas.openxmlformats.org/officeDocument/2006/relationships/footer" Target="footer7.xml" /><Relationship Id="rId45" Type="http://schemas.openxmlformats.org/officeDocument/2006/relationships/footer" Target="footer8.xml" /><Relationship Id="rId46" Type="http://schemas.openxmlformats.org/officeDocument/2006/relationships/footer" Target="footer9.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Inta.Svirksta\AppData\Local\Microsoft\Windows\INetCache\Content.Outlook\14XTBG5M\kvalitate_kopa.xlsx" TargetMode="Externa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Inta.Svirksta\Documents\IZ_111\IZ\3_saskanosana\IZMZino_p1_SAM111_120117.xlsx" TargetMode="External" /><Relationship Id="rId2" Type="http://schemas.microsoft.com/office/2011/relationships/chartColorStyle" Target="chart/colors6.xml" /><Relationship Id="rId3" Type="http://schemas.microsoft.com/office/2011/relationships/chartStyle" Target="chart/style6.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Inta.Svirksta\Documents\IZ_111\IZ\3_saskanosana\IZMZino_p1_SAM111_120117.xlsx" TargetMode="External" /><Relationship Id="rId2" Type="http://schemas.microsoft.com/office/2011/relationships/chartColorStyle" Target="chart/colors7.xml" /><Relationship Id="rId3" Type="http://schemas.microsoft.com/office/2011/relationships/chartStyle" Target="chart/style7.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Inta.Svirksta\Documents\IZ_111\IZ\3_saskanosana\IZMZino_p1_SAM111_120117.xlsx" TargetMode="External" /><Relationship Id="rId2" Type="http://schemas.microsoft.com/office/2011/relationships/chartColorStyle" Target="chart/colors8.xml" /><Relationship Id="rId3" Type="http://schemas.microsoft.com/office/2011/relationships/chartStyle" Target="chart/style8.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Inta.Svirksta\Documents\IZ_111\IZ\3_saskanosana\IZMZino_p1_SAM111_120117.xlsx" TargetMode="External" /><Relationship Id="rId2" Type="http://schemas.microsoft.com/office/2011/relationships/chartColorStyle" Target="chart/colors9.xml" /><Relationship Id="rId3" Type="http://schemas.microsoft.com/office/2011/relationships/chartStyle" Target="chart/style9.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Inta.Svirksta\Documents\IZ_111\IZ\3_saskanosana\IZMZino_p1_SAM111_120117.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Inta.Svirksta\AppData\Local\Microsoft\Windows\INetCache\Content.Outlook\14XTBG5M\kvalitate_kopa.xlsx" TargetMode="Externa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Inta.Svirksta\AppData\Local\Microsoft\Windows\INetCache\Content.Outlook\14XTBG5M\kvalitate_kopa.xlsx" TargetMode="External" /></Relationships>
</file>

<file path=word/charts/_rels/chart4.xml.rels>&#65279;<?xml version="1.0" encoding="utf-8" standalone="yes"?><Relationships xmlns="http://schemas.openxmlformats.org/package/2006/relationships"><Relationship Id="rId1" Type="http://schemas.openxmlformats.org/officeDocument/2006/relationships/oleObject" Target="NULL" TargetMode="Externa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Inta.Svirksta\Documents\IZ_111\Dati\AtskaiteVeiktieMaksajumi_310817.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6.xml.rels>&#65279;<?xml version="1.0" encoding="utf-8" standalone="yes"?><Relationships xmlns="http://schemas.openxmlformats.org/package/2006/relationships"><Relationship Id="rId1" Type="http://schemas.openxmlformats.org/officeDocument/2006/relationships/oleObject" Target="file:///\\izm-s-foxtrot.izm.resors\public\ZTAI%20starpposma%20izv&#275;rt&#275;jums\IZSTR&#256;D&#274;%20RIS3%20progresa%20zi&#326;ojums%202017\P&#274;C%20VSS_atk&#257;rtotai%20saska&#326;o&#353;anai\1111%20un%201112.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7.xml.rels>&#65279;<?xml version="1.0" encoding="utf-8" standalone="yes"?><Relationships xmlns="http://schemas.openxmlformats.org/package/2006/relationships"><Relationship Id="rId1" Type="http://schemas.openxmlformats.org/officeDocument/2006/relationships/oleObject" Target="file:///\\izm-s-foxtrot.izm.resors\public\ZTAI%20starpposma%20izv&#275;rt&#275;jums\IZSTR&#256;D&#274;%20RIS3%20progresa%20zi&#326;ojums%202017\P&#274;C%20VSS_atk&#257;rtotai%20saska&#326;o&#353;anai\1111%20un%201112.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Inta.Svirksta\Documents\IZ_111\Dati\1111\Copy%20of%201111pas&#257;kuma%201atlases%20k&#257;rta.xlsx" TargetMode="External" /><Relationship Id="rId2" Type="http://schemas.microsoft.com/office/2011/relationships/chartColorStyle" Target="chart/colors4.xml" /><Relationship Id="rId3" Type="http://schemas.microsoft.com/office/2011/relationships/chartStyle" Target="chart/style4.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Inta.Svirksta\Documents\IZ_111\Dati\1111\Copy%20of%201111pas&#257;kuma%201atlases%20k&#257;rta.xlsx" TargetMode="External" /><Relationship Id="rId2" Type="http://schemas.microsoft.com/office/2011/relationships/chartColorStyle" Target="chart/colors5.xml" /><Relationship Id="rId3" Type="http://schemas.microsoft.com/office/2011/relationships/chartStyle" Target="chart/style5.xml" /></Relationships>
</file>

<file path=word/charts/chart/colors1.xml><?xml version="1.0" encoding="utf-8"?>
<cs:colorStyle xmlns:cs="http://schemas.microsoft.com/office/drawing/2012/chartStyle" xmlns:a="http://schemas.openxmlformats.org/drawingml/2006/main" meth="withinLinear" id="19">
  <a:schemeClr val="accent6"/>
</cs:colorStyle>
</file>

<file path=word/charts/chart/colors10.xml><?xml version="1.0" encoding="utf-8"?>
<cs:colorStyle xmlns:cs="http://schemas.microsoft.com/office/drawing/2012/chartStyle" xmlns:a="http://schemas.openxmlformats.org/drawingml/2006/main" meth="withinLinear" id="15">
  <a:schemeClr val="accent2"/>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withinLinear" id="14">
  <a:schemeClr val="accent1"/>
</cs:colorStyle>
</file>

<file path=word/charts/chart/colors7.xml><?xml version="1.0" encoding="utf-8"?>
<cs:colorStyle xmlns:cs="http://schemas.microsoft.com/office/drawing/2012/chartStyle" xmlns:a="http://schemas.openxmlformats.org/drawingml/2006/main" meth="withinLinear" id="16">
  <a:schemeClr val="accent3"/>
</cs:colorStyle>
</file>

<file path=word/charts/chart/colors8.xml><?xml version="1.0" encoding="utf-8"?>
<cs:colorStyle xmlns:cs="http://schemas.microsoft.com/office/drawing/2012/chartStyle" xmlns:a="http://schemas.openxmlformats.org/drawingml/2006/main" meth="withinLinear" id="19">
  <a:schemeClr val="accent6"/>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clip"/>
          <a:lstStyle/>
          <a:p>
            <a:pPr>
              <a:defRPr sz="1000">
                <a:latin typeface="Tahoma" panose="020B0604030504040204" pitchFamily="34" charset="0"/>
                <a:ea typeface="Tahoma" panose="020B0604030504040204" pitchFamily="34" charset="0"/>
                <a:cs typeface="Tahoma" panose="020B0604030504040204" pitchFamily="34" charset="0"/>
              </a:defRPr>
            </a:pPr>
            <a:r>
              <a:rPr lang="lv-LV" sz="1000">
                <a:latin typeface="Tahoma" panose="020B0604030504040204" pitchFamily="34" charset="0"/>
                <a:ea typeface="Tahoma" panose="020B0604030504040204" pitchFamily="34" charset="0"/>
                <a:cs typeface="Tahoma" panose="020B0604030504040204" pitchFamily="34" charset="0"/>
              </a:rPr>
              <a:t>Pētījuma kvalitāte</a:t>
            </a:r>
          </a:p>
        </c:rich>
      </c:tx>
      <c:layout/>
      <c:overlay val="0"/>
    </c:title>
    <c:autoTitleDeleted val="0"/>
    <c:plotArea>
      <c:layout/>
      <c:barChart>
        <c:barDir val="col"/>
        <c:grouping val="clustered"/>
        <c:varyColors val="0"/>
        <c:ser>
          <c:idx val="0"/>
          <c:order val="0"/>
          <c:invertIfNegative val="0"/>
          <c:dPt>
            <c:idx val="16"/>
            <c:invertIfNegative val="0"/>
            <c:bubble3D val="0"/>
            <c:spPr>
              <a:solidFill>
                <a:srgbClr val="92D050"/>
              </a:solidFill>
            </c:spPr>
            <c:extLst>
              <c:ext xmlns:c="http://schemas.openxmlformats.org/drawingml/2006/chart" xmlns:c16="http://schemas.microsoft.com/office/drawing/2014/chart" uri="{C3380CC4-5D6E-409C-BE32-E72D297353CC}">
                <c16:uniqueId val="{00000001-1A9C-4B63-9A6C-ADB27436FD70}"/>
              </c:ext>
            </c:extLst>
          </c:dPt>
          <c:dPt>
            <c:idx val="17"/>
            <c:invertIfNegative val="0"/>
            <c:bubble3D val="0"/>
            <c:spPr>
              <a:solidFill>
                <a:srgbClr val="92D050"/>
              </a:solidFill>
            </c:spPr>
            <c:extLst>
              <c:ext xmlns:c="http://schemas.openxmlformats.org/drawingml/2006/chart" xmlns:c16="http://schemas.microsoft.com/office/drawing/2014/chart" uri="{C3380CC4-5D6E-409C-BE32-E72D297353CC}">
                <c16:uniqueId val="{00000003-1A9C-4B63-9A6C-ADB27436FD70}"/>
              </c:ext>
            </c:extLst>
          </c:dPt>
          <c:dPt>
            <c:idx val="18"/>
            <c:invertIfNegative val="0"/>
            <c:bubble3D val="0"/>
            <c:spPr>
              <a:solidFill>
                <a:srgbClr val="92D050"/>
              </a:solidFill>
            </c:spPr>
            <c:extLst>
              <c:ext xmlns:c="http://schemas.openxmlformats.org/drawingml/2006/chart" xmlns:c16="http://schemas.microsoft.com/office/drawing/2014/chart" uri="{C3380CC4-5D6E-409C-BE32-E72D297353CC}">
                <c16:uniqueId val="{00000005-1A9C-4B63-9A6C-ADB27436FD70}"/>
              </c:ext>
            </c:extLst>
          </c:dPt>
          <c:dPt>
            <c:idx val="19"/>
            <c:invertIfNegative val="0"/>
            <c:bubble3D val="0"/>
            <c:spPr>
              <a:solidFill>
                <a:srgbClr val="92D050"/>
              </a:solidFill>
            </c:spPr>
            <c:extLst>
              <c:ext xmlns:c="http://schemas.openxmlformats.org/drawingml/2006/chart" xmlns:c16="http://schemas.microsoft.com/office/drawing/2014/chart" uri="{C3380CC4-5D6E-409C-BE32-E72D297353CC}">
                <c16:uniqueId val="{00000007-1A9C-4B63-9A6C-ADB27436FD70}"/>
              </c:ext>
            </c:extLst>
          </c:dPt>
          <c:dPt>
            <c:idx val="20"/>
            <c:invertIfNegative val="0"/>
            <c:bubble3D val="0"/>
            <c:spPr>
              <a:solidFill>
                <a:srgbClr val="92D050"/>
              </a:solidFill>
            </c:spPr>
            <c:extLst>
              <c:ext xmlns:c="http://schemas.openxmlformats.org/drawingml/2006/chart" xmlns:c16="http://schemas.microsoft.com/office/drawing/2014/chart" uri="{C3380CC4-5D6E-409C-BE32-E72D297353CC}">
                <c16:uniqueId val="{00000009-1A9C-4B63-9A6C-ADB27436FD70}"/>
              </c:ext>
            </c:extLst>
          </c:dPt>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'1'!$A$2:$A$22</c:f>
              <c:numCache>
                <c:formatCode>General</c:formatCode>
                <c:ptCount val="2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numCache>
            </c:numRef>
          </c:cat>
          <c:val>
            <c:numRef>
              <c:f>'1'!$B$2:$B$22</c:f>
              <c:numCache>
                <c:formatCode>General</c:formatCode>
                <c:ptCount val="21"/>
                <c:pt idx="0">
                  <c:v>1</c:v>
                </c:pt>
                <c:pt idx="1">
                  <c:v>0</c:v>
                </c:pt>
                <c:pt idx="2">
                  <c:v>0</c:v>
                </c:pt>
                <c:pt idx="3">
                  <c:v>0</c:v>
                </c:pt>
                <c:pt idx="4">
                  <c:v>1</c:v>
                </c:pt>
                <c:pt idx="5">
                  <c:v>3</c:v>
                </c:pt>
                <c:pt idx="6">
                  <c:v>1</c:v>
                </c:pt>
                <c:pt idx="7">
                  <c:v>2</c:v>
                </c:pt>
                <c:pt idx="8">
                  <c:v>8</c:v>
                </c:pt>
                <c:pt idx="9">
                  <c:v>8</c:v>
                </c:pt>
                <c:pt idx="10">
                  <c:v>11</c:v>
                </c:pt>
                <c:pt idx="11">
                  <c:v>10</c:v>
                </c:pt>
                <c:pt idx="12">
                  <c:v>9</c:v>
                </c:pt>
                <c:pt idx="13">
                  <c:v>25</c:v>
                </c:pt>
                <c:pt idx="14">
                  <c:v>29</c:v>
                </c:pt>
                <c:pt idx="15">
                  <c:v>42</c:v>
                </c:pt>
                <c:pt idx="16">
                  <c:v>47</c:v>
                </c:pt>
                <c:pt idx="17">
                  <c:v>53</c:v>
                </c:pt>
                <c:pt idx="18">
                  <c:v>22</c:v>
                </c:pt>
                <c:pt idx="19">
                  <c:v>13</c:v>
                </c:pt>
                <c:pt idx="20">
                  <c:v>1</c:v>
                </c:pt>
              </c:numCache>
            </c:numRef>
          </c:val>
          <c:extLst>
            <c:ext xmlns:c="http://schemas.openxmlformats.org/drawingml/2006/chart" xmlns:c16="http://schemas.microsoft.com/office/drawing/2014/chart" uri="{C3380CC4-5D6E-409C-BE32-E72D297353CC}">
              <c16:uniqueId val="{0000000A-1A9C-4B63-9A6C-ADB27436FD70}"/>
            </c:ext>
          </c:extLst>
        </c:ser>
        <c:dLbls>
          <c:showLegendKey val="0"/>
          <c:showVal val="0"/>
          <c:showCatName val="0"/>
          <c:showSerName val="0"/>
          <c:showPercent val="0"/>
          <c:showBubbleSize val="0"/>
        </c:dLbls>
        <c:gapWidth val="150"/>
        <c:axId val="787065120"/>
        <c:axId val="787061984"/>
      </c:barChart>
      <c:catAx>
        <c:axId val="787065120"/>
        <c:scaling>
          <c:orientation val="minMax"/>
        </c:scaling>
        <c:delete val="0"/>
        <c:axPos val="b"/>
        <c:title>
          <c:tx>
            <c:rich>
              <a:bodyPr vertOverflow="clip"/>
              <a:lstStyle/>
              <a:p>
                <a:pPr>
                  <a:defRPr/>
                </a:pPr>
                <a:r>
                  <a:rPr lang="lv-LV"/>
                  <a:t>Vērtējums (punktos)</a:t>
                </a:r>
              </a:p>
            </c:rich>
          </c:tx>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v-LV"/>
          </a:p>
        </c:txPr>
        <c:crossAx val="787061984"/>
        <c:crosses val="autoZero"/>
        <c:auto val="1"/>
        <c:lblAlgn val="ctr"/>
        <c:lblOffset val="100"/>
        <c:noMultiLvlLbl val="0"/>
      </c:catAx>
      <c:valAx>
        <c:axId val="787061984"/>
        <c:scaling>
          <c:orientation val="minMax"/>
        </c:scaling>
        <c:delete val="0"/>
        <c:axPos val="l"/>
        <c:title>
          <c:tx>
            <c:rich>
              <a:bodyPr vertOverflow="clip"/>
              <a:lstStyle/>
              <a:p>
                <a:pPr>
                  <a:defRPr/>
                </a:pPr>
                <a:r>
                  <a:rPr lang="lv-LV"/>
                  <a:t>Projektu skaits</a:t>
                </a:r>
                <a:endParaRPr lang="en-US"/>
              </a:p>
            </c:rich>
          </c:tx>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v-LV"/>
          </a:p>
        </c:txPr>
        <c:crossAx val="7870651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'1.1.1.1.'!$O$6</c:f>
              <c:strCache>
                <c:ptCount val="1"/>
                <c:pt idx="0">
                  <c:v>Plāns nākamo atlases kārtu ietvaros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c:spPr>
          <c:invertIfNegative val="0"/>
          <c:dPt>
            <c:idx val="1"/>
            <c:invertIfNegative val="0"/>
            <c:bubble3D val="0"/>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'1.1.1.1.'!$O$3</c:f>
              <c:numCache>
                <c:formatCode>0</c:formatCode>
                <c:ptCount val="1"/>
                <c:pt idx="0">
                  <c:v>533</c:v>
                </c:pt>
              </c:numCache>
            </c:numRef>
          </c:val>
        </c:ser>
        <c:ser>
          <c:idx val="1"/>
          <c:order val="1"/>
          <c:tx>
            <c:strRef>
              <c:f>'1.1.1.1.'!$P$2</c:f>
              <c:strCache>
                <c:ptCount val="1"/>
                <c:pt idx="0">
                  <c:v>1. kārtas ietvaros uzņemtās saistības</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'1.1.1.1.'!$P$3</c:f>
              <c:numCache>
                <c:formatCode>General</c:formatCode>
                <c:ptCount val="1"/>
                <c:pt idx="0">
                  <c:v>167</c:v>
                </c:pt>
              </c:numCache>
            </c:numRef>
          </c:val>
        </c:ser>
        <c:dLbls>
          <c:dLblPos val="ctr"/>
          <c:showLegendKey val="0"/>
          <c:showVal val="1"/>
          <c:showCatName val="0"/>
          <c:showSerName val="0"/>
          <c:showPercent val="0"/>
          <c:showBubbleSize val="0"/>
        </c:dLbls>
        <c:gapWidth val="100"/>
        <c:overlap val="100"/>
        <c:axId val="702111208"/>
        <c:axId val="702106112"/>
      </c:barChart>
      <c:valAx>
        <c:axId val="702106112"/>
        <c:scaling>
          <c:orientation val="minMax"/>
          <c:min val="0"/>
        </c:scaling>
        <c:delete val="0"/>
        <c:axPos val="b"/>
        <c:majorGridlines>
          <c:spPr>
            <a:ln w="9525">
              <a:solidFill>
                <a:schemeClr val="tx2">
                  <a:lumMod val="15000"/>
                  <a:lumOff val="85000"/>
                </a:schemeClr>
              </a:solidFill>
              <a:round/>
            </a:ln>
            <a:effectLst/>
          </c:spPr>
        </c:majorGridlines>
        <c:numFmt formatCode="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02111208"/>
        <c:crosses val="autoZero"/>
        <c:crossBetween val="between"/>
      </c:valAx>
      <c:catAx>
        <c:axId val="702111208"/>
        <c:scaling>
          <c:orientation val="minMax"/>
        </c:scaling>
        <c:delete val="0"/>
        <c:axPos val="l"/>
        <c:numFmt formatCode="General" sourceLinked="1"/>
        <c:majorTickMark val="out"/>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0210611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'1.1.1.1.'!$O$2</c:f>
              <c:strCache>
                <c:ptCount val="1"/>
                <c:pt idx="0">
                  <c:v>Plāns nākamo atlases kārtu ietvaros</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c:spPr>
          <c:invertIfNegative val="0"/>
          <c:dPt>
            <c:idx val="1"/>
            <c:invertIfNegative val="0"/>
            <c:bubble3D val="0"/>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'1.1.1.1.'!$O$11</c:f>
              <c:numCache>
                <c:formatCode>0.00</c:formatCode>
                <c:ptCount val="1"/>
                <c:pt idx="0">
                  <c:v>502</c:v>
                </c:pt>
              </c:numCache>
            </c:numRef>
          </c:val>
        </c:ser>
        <c:ser>
          <c:idx val="1"/>
          <c:order val="1"/>
          <c:tx>
            <c:strRef>
              <c:f>'1.1.1.1.'!$P$14</c:f>
              <c:strCache>
                <c:ptCount val="1"/>
                <c:pt idx="0">
                  <c:v>1. kārtas ietvaros uzņemtās saistības</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'1.1.1.1.'!$P$11</c:f>
              <c:numCache>
                <c:formatCode>General</c:formatCode>
                <c:ptCount val="1"/>
                <c:pt idx="0">
                  <c:v>970</c:v>
                </c:pt>
              </c:numCache>
            </c:numRef>
          </c:val>
        </c:ser>
        <c:dLbls>
          <c:dLblPos val="ctr"/>
          <c:showLegendKey val="0"/>
          <c:showVal val="1"/>
          <c:showCatName val="0"/>
          <c:showSerName val="0"/>
          <c:showPercent val="0"/>
          <c:showBubbleSize val="0"/>
        </c:dLbls>
        <c:gapWidth val="100"/>
        <c:overlap val="100"/>
        <c:axId val="702108072"/>
        <c:axId val="702111992"/>
      </c:barChart>
      <c:valAx>
        <c:axId val="702111992"/>
        <c:scaling>
          <c:orientation val="minMax"/>
        </c:scaling>
        <c:delete val="0"/>
        <c:axPos val="b"/>
        <c:majorGridlines>
          <c:spPr>
            <a:ln w="9525">
              <a:solidFill>
                <a:schemeClr val="tx2">
                  <a:lumMod val="15000"/>
                  <a:lumOff val="85000"/>
                </a:schemeClr>
              </a:solidFill>
              <a:round/>
            </a:ln>
            <a:effectLst/>
          </c:spPr>
        </c:majorGridlines>
        <c:numFmt formatCode="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02108072"/>
        <c:crosses val="autoZero"/>
        <c:crossBetween val="between"/>
      </c:valAx>
      <c:catAx>
        <c:axId val="702108072"/>
        <c:scaling>
          <c:orientation val="minMax"/>
        </c:scaling>
        <c:delete val="0"/>
        <c:axPos val="l"/>
        <c:numFmt formatCode="General" sourceLinked="1"/>
        <c:majorTickMark val="out"/>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0211199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'1.1.1.1.'!$O$2</c:f>
              <c:strCache>
                <c:ptCount val="1"/>
                <c:pt idx="0">
                  <c:v>Plāns nākamo atlases kārtu ietvaros</c:v>
                </c:pt>
              </c:strCache>
            </c:strRef>
          </c:tx>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c:spPr>
          <c:invertIfNegative val="0"/>
          <c:dPt>
            <c:idx val="1"/>
            <c:invertIfNegative val="0"/>
            <c:bubble3D val="0"/>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'1.1.1.1.'!$O$19</c:f>
              <c:numCache>
                <c:formatCode>0</c:formatCode>
                <c:ptCount val="1"/>
                <c:pt idx="0">
                  <c:v>341</c:v>
                </c:pt>
              </c:numCache>
            </c:numRef>
          </c:val>
        </c:ser>
        <c:ser>
          <c:idx val="1"/>
          <c:order val="1"/>
          <c:tx>
            <c:strRef>
              <c:f>'1.1.1.1.'!$P$14</c:f>
              <c:strCache>
                <c:ptCount val="1"/>
                <c:pt idx="0">
                  <c:v>1. kārtas ietvaros uzņemtās saistības</c:v>
                </c:pt>
              </c:strCache>
            </c:strRef>
          </c:tx>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'1.1.1.1.'!$P$19</c:f>
              <c:numCache>
                <c:formatCode>General</c:formatCode>
                <c:ptCount val="1"/>
                <c:pt idx="0">
                  <c:v>189</c:v>
                </c:pt>
              </c:numCache>
            </c:numRef>
          </c:val>
        </c:ser>
        <c:dLbls>
          <c:dLblPos val="ctr"/>
          <c:showLegendKey val="0"/>
          <c:showVal val="1"/>
          <c:showCatName val="0"/>
          <c:showSerName val="0"/>
          <c:showPercent val="0"/>
          <c:showBubbleSize val="0"/>
        </c:dLbls>
        <c:gapWidth val="100"/>
        <c:overlap val="100"/>
        <c:axId val="796637152"/>
        <c:axId val="702105720"/>
      </c:barChart>
      <c:valAx>
        <c:axId val="702105720"/>
        <c:scaling>
          <c:orientation val="minMax"/>
        </c:scaling>
        <c:delete val="0"/>
        <c:axPos val="b"/>
        <c:majorGridlines>
          <c:spPr>
            <a:ln w="9525">
              <a:solidFill>
                <a:schemeClr val="tx2">
                  <a:lumMod val="15000"/>
                  <a:lumOff val="85000"/>
                </a:schemeClr>
              </a:solidFill>
              <a:round/>
            </a:ln>
            <a:effectLst/>
          </c:spPr>
        </c:majorGridlines>
        <c:numFmt formatCode="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96637152"/>
        <c:crosses val="autoZero"/>
        <c:crossBetween val="between"/>
      </c:valAx>
      <c:catAx>
        <c:axId val="796637152"/>
        <c:scaling>
          <c:orientation val="minMax"/>
        </c:scaling>
        <c:delete val="0"/>
        <c:axPos val="l"/>
        <c:numFmt formatCode="General" sourceLinked="1"/>
        <c:majorTickMark val="out"/>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021057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'1.1.1.1.'!$O$2</c:f>
              <c:strCache>
                <c:ptCount val="1"/>
                <c:pt idx="0">
                  <c:v>Plāns nākamo atlases kārtu ietvaros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'1.1.1.1.'!$O$15</c:f>
              <c:numCache>
                <c:formatCode>#,##0</c:formatCode>
                <c:ptCount val="1"/>
                <c:pt idx="0">
                  <c:v>9817586</c:v>
                </c:pt>
              </c:numCache>
            </c:numRef>
          </c:val>
        </c:ser>
        <c:ser>
          <c:idx val="1"/>
          <c:order val="1"/>
          <c:tx>
            <c:strRef>
              <c:f>'1.1.1.1.'!$P$14</c:f>
              <c:strCache>
                <c:ptCount val="1"/>
                <c:pt idx="0">
                  <c:v>1. kārtas ietvaros uzņemtās saistības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'1.1.1.1.'!$P$15</c:f>
              <c:numCache>
                <c:formatCode>#,##0</c:formatCode>
                <c:ptCount val="1"/>
                <c:pt idx="0">
                  <c:v>3007414</c:v>
                </c:pt>
              </c:numCache>
            </c:numRef>
          </c:val>
        </c:ser>
        <c:dLbls>
          <c:dLblPos val="ctr"/>
          <c:showLegendKey val="0"/>
          <c:showVal val="1"/>
          <c:showCatName val="0"/>
          <c:showSerName val="0"/>
          <c:showPercent val="0"/>
          <c:showBubbleSize val="0"/>
        </c:dLbls>
        <c:gapWidth val="100"/>
        <c:overlap val="100"/>
        <c:axId val="796639504"/>
        <c:axId val="796644992"/>
      </c:barChart>
      <c:valAx>
        <c:axId val="796644992"/>
        <c:scaling>
          <c:orientation val="minMax"/>
        </c:scaling>
        <c:delete val="0"/>
        <c:axPos val="b"/>
        <c:majorGridlines>
          <c:spPr>
            <a:ln w="9525">
              <a:solidFill>
                <a:schemeClr val="tx2">
                  <a:lumMod val="15000"/>
                  <a:lumOff val="85000"/>
                </a:schemeClr>
              </a:solidFill>
              <a:round/>
            </a:ln>
            <a:effectLst/>
          </c:spPr>
        </c:majorGridlines>
        <c:numFmt formatCode="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96639504"/>
        <c:crosses val="autoZero"/>
        <c:crossBetween val="between"/>
      </c:valAx>
      <c:catAx>
        <c:axId val="796639504"/>
        <c:scaling>
          <c:orientation val="minMax"/>
        </c:scaling>
        <c:delete val="0"/>
        <c:axPos val="l"/>
        <c:numFmt formatCode="General" sourceLinked="1"/>
        <c:majorTickMark val="out"/>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9664499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percentStacked"/>
        <c:varyColors val="0"/>
        <c:ser>
          <c:idx val="0"/>
          <c:order val="0"/>
          <c:tx>
            <c:strRef>
              <c:f>'1.1.1.1.'!$O$6</c:f>
              <c:strCache>
                <c:ptCount val="1"/>
                <c:pt idx="0">
                  <c:v>Plāns nākamo atlases kārtu ietvaros</c:v>
                </c:pt>
              </c:strCache>
            </c:strRef>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c:spPr>
          <c:invertIfNegative val="0"/>
          <c:dPt>
            <c:idx val="1"/>
            <c:invertIfNegative val="0"/>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'1.1.1.1.'!$O$7</c:f>
              <c:numCache>
                <c:formatCode>0</c:formatCode>
                <c:ptCount val="1"/>
                <c:pt idx="0">
                  <c:v>414</c:v>
                </c:pt>
              </c:numCache>
            </c:numRef>
          </c:val>
        </c:ser>
        <c:ser>
          <c:idx val="1"/>
          <c:order val="1"/>
          <c:tx>
            <c:strRef>
              <c:f>'1.1.1.1.'!$P$6</c:f>
              <c:strCache>
                <c:ptCount val="1"/>
                <c:pt idx="0">
                  <c:v>1. kārtas ietvaros uzņemtās saistības</c:v>
                </c:pt>
              </c:strCache>
            </c:strRef>
          </c:tx>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'1.1.1.1.'!$P$7</c:f>
              <c:numCache>
                <c:formatCode>General</c:formatCode>
                <c:ptCount val="1"/>
                <c:pt idx="0">
                  <c:v>36</c:v>
                </c:pt>
              </c:numCache>
            </c:numRef>
          </c:val>
        </c:ser>
        <c:dLbls>
          <c:dLblPos val="ctr"/>
          <c:showLegendKey val="0"/>
          <c:showVal val="1"/>
          <c:showCatName val="0"/>
          <c:showSerName val="0"/>
          <c:showPercent val="0"/>
          <c:showBubbleSize val="0"/>
        </c:dLbls>
        <c:gapWidth val="100"/>
        <c:overlap val="100"/>
        <c:axId val="796637936"/>
        <c:axId val="796644208"/>
      </c:barChart>
      <c:valAx>
        <c:axId val="796644208"/>
        <c:scaling>
          <c:orientation val="minMax"/>
          <c:min val="0"/>
        </c:scaling>
        <c:delete val="0"/>
        <c:axPos val="b"/>
        <c:majorGridlines>
          <c:spPr>
            <a:ln w="9525">
              <a:solidFill>
                <a:schemeClr val="tx2">
                  <a:lumMod val="15000"/>
                  <a:lumOff val="85000"/>
                </a:schemeClr>
              </a:solidFill>
              <a:round/>
            </a:ln>
            <a:effectLst/>
          </c:spPr>
        </c:majorGridlines>
        <c:numFmt formatCode="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96637936"/>
        <c:crosses val="autoZero"/>
        <c:crossBetween val="between"/>
      </c:valAx>
      <c:catAx>
        <c:axId val="796637936"/>
        <c:scaling>
          <c:orientation val="minMax"/>
        </c:scaling>
        <c:delete val="0"/>
        <c:axPos val="l"/>
        <c:numFmt formatCode="General" sourceLinked="1"/>
        <c:majorTickMark val="out"/>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966442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clip"/>
          <a:lstStyle/>
          <a:p>
            <a:pPr>
              <a:defRPr sz="1000">
                <a:latin typeface="Times New Roman" panose="02020603050405020304" pitchFamily="18" charset="0"/>
                <a:cs typeface="Times New Roman" panose="02020603050405020304" pitchFamily="18" charset="0"/>
              </a:defRPr>
            </a:pPr>
            <a:r>
              <a:rPr lang="lv-LV" sz="1000" b="1" i="0" u="none" strike="noStrike" baseline="0">
                <a:effectLst/>
                <a:latin typeface="Times New Roman" panose="02020603050405020304" pitchFamily="18" charset="0"/>
                <a:cs typeface="Times New Roman" panose="02020603050405020304" pitchFamily="18" charset="0"/>
              </a:rPr>
              <a:t>Sociālekonomiskā ietekme</a:t>
            </a:r>
            <a:endParaRPr lang="lv-LV" sz="10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invertIfNegative val="0"/>
          <c:dPt>
            <c:idx val="14"/>
            <c:invertIfNegative val="0"/>
            <c:bubble3D val="0"/>
            <c:spPr>
              <a:solidFill>
                <a:srgbClr val="92D050"/>
              </a:solidFill>
            </c:spPr>
            <c:extLst>
              <c:ext xmlns:c="http://schemas.openxmlformats.org/drawingml/2006/chart" xmlns:c16="http://schemas.microsoft.com/office/drawing/2014/chart" uri="{C3380CC4-5D6E-409C-BE32-E72D297353CC}">
                <c16:uniqueId val="{00000001-608F-47FF-ADE1-363A79CF68F1}"/>
              </c:ext>
            </c:extLst>
          </c:dPt>
          <c:dPt>
            <c:idx val="15"/>
            <c:invertIfNegative val="0"/>
            <c:bubble3D val="0"/>
            <c:spPr>
              <a:solidFill>
                <a:srgbClr val="92D050"/>
              </a:solidFill>
            </c:spPr>
            <c:extLst>
              <c:ext xmlns:c="http://schemas.openxmlformats.org/drawingml/2006/chart" xmlns:c16="http://schemas.microsoft.com/office/drawing/2014/chart" uri="{C3380CC4-5D6E-409C-BE32-E72D297353CC}">
                <c16:uniqueId val="{00000003-608F-47FF-ADE1-363A79CF68F1}"/>
              </c:ext>
            </c:extLst>
          </c:dPt>
          <c:dPt>
            <c:idx val="16"/>
            <c:invertIfNegative val="0"/>
            <c:bubble3D val="0"/>
            <c:spPr>
              <a:solidFill>
                <a:srgbClr val="92D050"/>
              </a:solidFill>
            </c:spPr>
            <c:extLst>
              <c:ext xmlns:c="http://schemas.openxmlformats.org/drawingml/2006/chart" xmlns:c16="http://schemas.microsoft.com/office/drawing/2014/chart" uri="{C3380CC4-5D6E-409C-BE32-E72D297353CC}">
                <c16:uniqueId val="{00000005-608F-47FF-ADE1-363A79CF68F1}"/>
              </c:ext>
            </c:extLst>
          </c:dPt>
          <c:dPt>
            <c:idx val="17"/>
            <c:invertIfNegative val="0"/>
            <c:bubble3D val="0"/>
            <c:spPr>
              <a:solidFill>
                <a:srgbClr val="92D050"/>
              </a:solidFill>
            </c:spPr>
            <c:extLst>
              <c:ext xmlns:c="http://schemas.openxmlformats.org/drawingml/2006/chart" xmlns:c16="http://schemas.microsoft.com/office/drawing/2014/chart" uri="{C3380CC4-5D6E-409C-BE32-E72D297353CC}">
                <c16:uniqueId val="{00000007-608F-47FF-ADE1-363A79CF68F1}"/>
              </c:ext>
            </c:extLst>
          </c:dPt>
          <c:dPt>
            <c:idx val="18"/>
            <c:invertIfNegative val="0"/>
            <c:bubble3D val="0"/>
            <c:spPr>
              <a:solidFill>
                <a:srgbClr val="92D050"/>
              </a:solidFill>
            </c:spPr>
            <c:extLst>
              <c:ext xmlns:c="http://schemas.openxmlformats.org/drawingml/2006/chart" xmlns:c16="http://schemas.microsoft.com/office/drawing/2014/chart" uri="{C3380CC4-5D6E-409C-BE32-E72D297353CC}">
                <c16:uniqueId val="{00000009-608F-47FF-ADE1-363A79CF68F1}"/>
              </c:ext>
            </c:extLst>
          </c:dPt>
          <c:dPt>
            <c:idx val="19"/>
            <c:invertIfNegative val="0"/>
            <c:bubble3D val="0"/>
            <c:spPr>
              <a:solidFill>
                <a:srgbClr val="92D050"/>
              </a:solidFill>
            </c:spPr>
            <c:extLst>
              <c:ext xmlns:c="http://schemas.openxmlformats.org/drawingml/2006/chart" xmlns:c16="http://schemas.microsoft.com/office/drawing/2014/chart" uri="{C3380CC4-5D6E-409C-BE32-E72D297353CC}">
                <c16:uniqueId val="{0000000B-608F-47FF-ADE1-363A79CF68F1}"/>
              </c:ext>
            </c:extLst>
          </c:dPt>
          <c:dPt>
            <c:idx val="20"/>
            <c:invertIfNegative val="0"/>
            <c:bubble3D val="0"/>
            <c:spPr>
              <a:solidFill>
                <a:srgbClr val="92D050"/>
              </a:solidFill>
            </c:spPr>
            <c:extLst>
              <c:ext xmlns:c="http://schemas.openxmlformats.org/drawingml/2006/chart" xmlns:c16="http://schemas.microsoft.com/office/drawing/2014/chart" uri="{C3380CC4-5D6E-409C-BE32-E72D297353CC}">
                <c16:uniqueId val="{0000000D-608F-47FF-ADE1-363A79CF68F1}"/>
              </c:ext>
            </c:extLst>
          </c:dPt>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'2'!$A$2:$A$22</c:f>
              <c:numCache>
                <c:formatCode>General</c:formatCode>
                <c:ptCount val="2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numCache>
            </c:numRef>
          </c:cat>
          <c:val>
            <c:numRef>
              <c:f>'2'!$B$2:$B$22</c:f>
              <c:numCache>
                <c:formatCode>General</c:formatCode>
                <c:ptCount val="21"/>
                <c:pt idx="0">
                  <c:v>0</c:v>
                </c:pt>
                <c:pt idx="1">
                  <c:v>0</c:v>
                </c:pt>
                <c:pt idx="2">
                  <c:v>0</c:v>
                </c:pt>
                <c:pt idx="3">
                  <c:v>0</c:v>
                </c:pt>
                <c:pt idx="4">
                  <c:v>1</c:v>
                </c:pt>
                <c:pt idx="5">
                  <c:v>1</c:v>
                </c:pt>
                <c:pt idx="6">
                  <c:v>0</c:v>
                </c:pt>
                <c:pt idx="7">
                  <c:v>4</c:v>
                </c:pt>
                <c:pt idx="8">
                  <c:v>8</c:v>
                </c:pt>
                <c:pt idx="9">
                  <c:v>7</c:v>
                </c:pt>
                <c:pt idx="10">
                  <c:v>6</c:v>
                </c:pt>
                <c:pt idx="11">
                  <c:v>12</c:v>
                </c:pt>
                <c:pt idx="12">
                  <c:v>19</c:v>
                </c:pt>
                <c:pt idx="13">
                  <c:v>23</c:v>
                </c:pt>
                <c:pt idx="14">
                  <c:v>34</c:v>
                </c:pt>
                <c:pt idx="15">
                  <c:v>57</c:v>
                </c:pt>
                <c:pt idx="16">
                  <c:v>43</c:v>
                </c:pt>
                <c:pt idx="17">
                  <c:v>39</c:v>
                </c:pt>
                <c:pt idx="18">
                  <c:v>19</c:v>
                </c:pt>
                <c:pt idx="19">
                  <c:v>11</c:v>
                </c:pt>
                <c:pt idx="20">
                  <c:v>2</c:v>
                </c:pt>
              </c:numCache>
            </c:numRef>
          </c:val>
          <c:extLst>
            <c:ext xmlns:c="http://schemas.openxmlformats.org/drawingml/2006/chart" xmlns:c16="http://schemas.microsoft.com/office/drawing/2014/chart" uri="{C3380CC4-5D6E-409C-BE32-E72D297353CC}">
              <c16:uniqueId val="{0000000E-608F-47FF-ADE1-363A79CF68F1}"/>
            </c:ext>
          </c:extLst>
        </c:ser>
        <c:dLbls>
          <c:showLegendKey val="0"/>
          <c:showVal val="0"/>
          <c:showCatName val="0"/>
          <c:showSerName val="0"/>
          <c:showPercent val="0"/>
          <c:showBubbleSize val="0"/>
        </c:dLbls>
        <c:gapWidth val="150"/>
        <c:axId val="787062768"/>
        <c:axId val="787064336"/>
      </c:barChart>
      <c:catAx>
        <c:axId val="787062768"/>
        <c:scaling>
          <c:orientation val="minMax"/>
        </c:scaling>
        <c:delete val="0"/>
        <c:axPos val="b"/>
        <c:title>
          <c:tx>
            <c:rich>
              <a:bodyPr vertOverflow="clip"/>
              <a:lstStyle/>
              <a:p>
                <a:pPr>
                  <a:defRPr/>
                </a:pPr>
                <a:r>
                  <a:rPr lang="lv-LV"/>
                  <a:t>Vērtējums (punktos)</a:t>
                </a:r>
              </a:p>
            </c:rich>
          </c:tx>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v-LV"/>
          </a:p>
        </c:txPr>
        <c:crossAx val="787064336"/>
        <c:crosses val="autoZero"/>
        <c:auto val="1"/>
        <c:lblAlgn val="ctr"/>
        <c:lblOffset val="100"/>
        <c:noMultiLvlLbl val="0"/>
      </c:catAx>
      <c:valAx>
        <c:axId val="787064336"/>
        <c:scaling>
          <c:orientation val="minMax"/>
        </c:scaling>
        <c:delete val="0"/>
        <c:axPos val="l"/>
        <c:title>
          <c:tx>
            <c:rich>
              <a:bodyPr vertOverflow="clip"/>
              <a:lstStyle/>
              <a:p>
                <a:pPr>
                  <a:defRPr/>
                </a:pPr>
                <a:r>
                  <a:rPr lang="lv-LV"/>
                  <a:t>Projektu skaits</a:t>
                </a:r>
              </a:p>
            </c:rich>
          </c:tx>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v-LV"/>
          </a:p>
        </c:txPr>
        <c:crossAx val="787062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clip"/>
          <a:lstStyle/>
          <a:p>
            <a:pPr>
              <a:defRPr sz="1000"/>
            </a:pPr>
            <a:r>
              <a:rPr lang="lv-LV" sz="1000"/>
              <a:t>Īstenošanas kvalitāte un efektivitāte</a:t>
            </a:r>
          </a:p>
        </c:rich>
      </c:tx>
      <c:layout/>
      <c:overlay val="0"/>
    </c:title>
    <c:autoTitleDeleted val="0"/>
    <c:plotArea>
      <c:layout/>
      <c:barChart>
        <c:barDir val="col"/>
        <c:grouping val="clustered"/>
        <c:varyColors val="0"/>
        <c:ser>
          <c:idx val="0"/>
          <c:order val="0"/>
          <c:invertIfNegative val="0"/>
          <c:dPt>
            <c:idx val="12"/>
            <c:invertIfNegative val="0"/>
            <c:bubble3D val="0"/>
            <c:spPr>
              <a:solidFill>
                <a:srgbClr val="92D050"/>
              </a:solidFill>
            </c:spPr>
            <c:extLst>
              <c:ext xmlns:c="http://schemas.openxmlformats.org/drawingml/2006/chart" xmlns:c16="http://schemas.microsoft.com/office/drawing/2014/chart" uri="{C3380CC4-5D6E-409C-BE32-E72D297353CC}">
                <c16:uniqueId val="{00000001-C05B-4CFC-9A48-1C6A1ABC253E}"/>
              </c:ext>
            </c:extLst>
          </c:dPt>
          <c:dPt>
            <c:idx val="13"/>
            <c:invertIfNegative val="0"/>
            <c:bubble3D val="0"/>
            <c:spPr>
              <a:solidFill>
                <a:srgbClr val="92D050"/>
              </a:solidFill>
            </c:spPr>
            <c:extLst>
              <c:ext xmlns:c="http://schemas.openxmlformats.org/drawingml/2006/chart" xmlns:c16="http://schemas.microsoft.com/office/drawing/2014/chart" uri="{C3380CC4-5D6E-409C-BE32-E72D297353CC}">
                <c16:uniqueId val="{00000003-C05B-4CFC-9A48-1C6A1ABC253E}"/>
              </c:ext>
            </c:extLst>
          </c:dPt>
          <c:dPt>
            <c:idx val="14"/>
            <c:invertIfNegative val="0"/>
            <c:bubble3D val="0"/>
            <c:spPr>
              <a:solidFill>
                <a:srgbClr val="92D050"/>
              </a:solidFill>
            </c:spPr>
            <c:extLst>
              <c:ext xmlns:c="http://schemas.openxmlformats.org/drawingml/2006/chart" xmlns:c16="http://schemas.microsoft.com/office/drawing/2014/chart" uri="{C3380CC4-5D6E-409C-BE32-E72D297353CC}">
                <c16:uniqueId val="{00000005-C05B-4CFC-9A48-1C6A1ABC253E}"/>
              </c:ext>
            </c:extLst>
          </c:dPt>
          <c:dPt>
            <c:idx val="15"/>
            <c:invertIfNegative val="0"/>
            <c:bubble3D val="0"/>
            <c:spPr>
              <a:solidFill>
                <a:srgbClr val="92D050"/>
              </a:solidFill>
            </c:spPr>
            <c:extLst>
              <c:ext xmlns:c="http://schemas.openxmlformats.org/drawingml/2006/chart" xmlns:c16="http://schemas.microsoft.com/office/drawing/2014/chart" uri="{C3380CC4-5D6E-409C-BE32-E72D297353CC}">
                <c16:uniqueId val="{00000007-C05B-4CFC-9A48-1C6A1ABC253E}"/>
              </c:ext>
            </c:extLst>
          </c:dPt>
          <c:dPt>
            <c:idx val="16"/>
            <c:invertIfNegative val="0"/>
            <c:bubble3D val="0"/>
            <c:spPr>
              <a:solidFill>
                <a:srgbClr val="92D050"/>
              </a:solidFill>
            </c:spPr>
            <c:extLst>
              <c:ext xmlns:c="http://schemas.openxmlformats.org/drawingml/2006/chart" xmlns:c16="http://schemas.microsoft.com/office/drawing/2014/chart" uri="{C3380CC4-5D6E-409C-BE32-E72D297353CC}">
                <c16:uniqueId val="{00000009-C05B-4CFC-9A48-1C6A1ABC253E}"/>
              </c:ext>
            </c:extLst>
          </c:dPt>
          <c:dPt>
            <c:idx val="17"/>
            <c:invertIfNegative val="0"/>
            <c:bubble3D val="0"/>
            <c:spPr>
              <a:solidFill>
                <a:srgbClr val="92D050"/>
              </a:solidFill>
            </c:spPr>
            <c:extLst>
              <c:ext xmlns:c="http://schemas.openxmlformats.org/drawingml/2006/chart" xmlns:c16="http://schemas.microsoft.com/office/drawing/2014/chart" uri="{C3380CC4-5D6E-409C-BE32-E72D297353CC}">
                <c16:uniqueId val="{0000000B-C05B-4CFC-9A48-1C6A1ABC253E}"/>
              </c:ext>
            </c:extLst>
          </c:dPt>
          <c:dPt>
            <c:idx val="18"/>
            <c:invertIfNegative val="0"/>
            <c:bubble3D val="0"/>
            <c:spPr>
              <a:solidFill>
                <a:srgbClr val="92D050"/>
              </a:solidFill>
            </c:spPr>
            <c:extLst>
              <c:ext xmlns:c="http://schemas.openxmlformats.org/drawingml/2006/chart" xmlns:c16="http://schemas.microsoft.com/office/drawing/2014/chart" uri="{C3380CC4-5D6E-409C-BE32-E72D297353CC}">
                <c16:uniqueId val="{0000000D-C05B-4CFC-9A48-1C6A1ABC253E}"/>
              </c:ext>
            </c:extLst>
          </c:dPt>
          <c:dPt>
            <c:idx val="19"/>
            <c:invertIfNegative val="0"/>
            <c:bubble3D val="0"/>
            <c:spPr>
              <a:solidFill>
                <a:srgbClr val="92D050"/>
              </a:solidFill>
            </c:spPr>
            <c:extLst>
              <c:ext xmlns:c="http://schemas.openxmlformats.org/drawingml/2006/chart" xmlns:c16="http://schemas.microsoft.com/office/drawing/2014/chart" uri="{C3380CC4-5D6E-409C-BE32-E72D297353CC}">
                <c16:uniqueId val="{0000000F-C05B-4CFC-9A48-1C6A1ABC253E}"/>
              </c:ext>
            </c:extLst>
          </c:dPt>
          <c:dPt>
            <c:idx val="20"/>
            <c:invertIfNegative val="0"/>
            <c:bubble3D val="0"/>
            <c:spPr>
              <a:solidFill>
                <a:srgbClr val="92D050"/>
              </a:solidFill>
            </c:spPr>
            <c:extLst>
              <c:ext xmlns:c="http://schemas.openxmlformats.org/drawingml/2006/chart" xmlns:c16="http://schemas.microsoft.com/office/drawing/2014/chart" uri="{C3380CC4-5D6E-409C-BE32-E72D297353CC}">
                <c16:uniqueId val="{00000011-C05B-4CFC-9A48-1C6A1ABC253E}"/>
              </c:ext>
            </c:extLst>
          </c:dPt>
          <c:dLbls>
            <c:spPr>
              <a:noFill/>
              <a:ln>
                <a:noFill/>
              </a:ln>
              <a:effectLst/>
            </c:spPr>
            <c:txPr>
              <a:bodyPr wrap="square" lIns="38100" tIns="19050" rIns="38100" bIns="19050" anchor="ctr">
                <a:spAutoFit/>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'3'!$A$2:$A$22</c:f>
              <c:numCache>
                <c:formatCode>General</c:formatCode>
                <c:ptCount val="2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numCache>
            </c:numRef>
          </c:cat>
          <c:val>
            <c:numRef>
              <c:f>'3'!$B$2:$B$22</c:f>
              <c:numCache>
                <c:formatCode>General</c:formatCode>
                <c:ptCount val="21"/>
                <c:pt idx="0">
                  <c:v>0</c:v>
                </c:pt>
                <c:pt idx="1">
                  <c:v>0</c:v>
                </c:pt>
                <c:pt idx="2">
                  <c:v>0</c:v>
                </c:pt>
                <c:pt idx="3">
                  <c:v>0</c:v>
                </c:pt>
                <c:pt idx="4">
                  <c:v>1</c:v>
                </c:pt>
                <c:pt idx="5">
                  <c:v>0</c:v>
                </c:pt>
                <c:pt idx="6">
                  <c:v>1</c:v>
                </c:pt>
                <c:pt idx="7">
                  <c:v>3</c:v>
                </c:pt>
                <c:pt idx="8">
                  <c:v>4</c:v>
                </c:pt>
                <c:pt idx="9">
                  <c:v>6</c:v>
                </c:pt>
                <c:pt idx="10">
                  <c:v>10</c:v>
                </c:pt>
                <c:pt idx="11">
                  <c:v>13</c:v>
                </c:pt>
                <c:pt idx="12">
                  <c:v>38</c:v>
                </c:pt>
                <c:pt idx="13">
                  <c:v>32</c:v>
                </c:pt>
                <c:pt idx="14">
                  <c:v>36</c:v>
                </c:pt>
                <c:pt idx="15">
                  <c:v>49</c:v>
                </c:pt>
                <c:pt idx="16">
                  <c:v>34</c:v>
                </c:pt>
                <c:pt idx="17">
                  <c:v>34</c:v>
                </c:pt>
                <c:pt idx="18">
                  <c:v>17</c:v>
                </c:pt>
                <c:pt idx="19">
                  <c:v>7</c:v>
                </c:pt>
                <c:pt idx="20">
                  <c:v>1</c:v>
                </c:pt>
              </c:numCache>
            </c:numRef>
          </c:val>
          <c:extLst>
            <c:ext xmlns:c="http://schemas.openxmlformats.org/drawingml/2006/chart" xmlns:c16="http://schemas.microsoft.com/office/drawing/2014/chart" uri="{C3380CC4-5D6E-409C-BE32-E72D297353CC}">
              <c16:uniqueId val="{00000012-C05B-4CFC-9A48-1C6A1ABC253E}"/>
            </c:ext>
          </c:extLst>
        </c:ser>
        <c:dLbls>
          <c:showLegendKey val="0"/>
          <c:showVal val="0"/>
          <c:showCatName val="0"/>
          <c:showSerName val="0"/>
          <c:showPercent val="0"/>
          <c:showBubbleSize val="0"/>
        </c:dLbls>
        <c:gapWidth val="150"/>
        <c:axId val="788975752"/>
        <c:axId val="788976536"/>
      </c:barChart>
      <c:catAx>
        <c:axId val="788975752"/>
        <c:scaling>
          <c:orientation val="minMax"/>
        </c:scaling>
        <c:delete val="0"/>
        <c:axPos val="b"/>
        <c:title>
          <c:tx>
            <c:rich>
              <a:bodyPr vertOverflow="clip"/>
              <a:lstStyle/>
              <a:p>
                <a:pPr>
                  <a:defRPr/>
                </a:pPr>
                <a:r>
                  <a:rPr lang="lv-LV"/>
                  <a:t>Vērtējums (punktos)</a:t>
                </a:r>
              </a:p>
            </c:rich>
          </c:tx>
          <c:layout>
            <c:manualLayout>
              <c:xMode val="edge"/>
              <c:yMode val="edge"/>
              <c:x val="0.472420724954917"/>
              <c:y val="0.870722433460076"/>
            </c:manualLayout>
          </c:layout>
          <c:overlay val="0"/>
        </c:title>
        <c:numFmt formatCode="General" sourceLinked="1"/>
        <c:majorTickMark val="out"/>
        <c:minorTickMark val="none"/>
        <c:tickLblPos val="nextTo"/>
        <c:txPr>
          <a:bodyPr/>
          <a:lstStyle/>
          <a:p>
            <a:pPr>
              <a:defRPr sz="900"/>
            </a:pPr>
            <a:endParaRPr lang="lv-LV"/>
          </a:p>
        </c:txPr>
        <c:crossAx val="788976536"/>
        <c:crosses val="autoZero"/>
        <c:auto val="1"/>
        <c:lblAlgn val="ctr"/>
        <c:lblOffset val="100"/>
        <c:noMultiLvlLbl val="0"/>
      </c:catAx>
      <c:valAx>
        <c:axId val="788976536"/>
        <c:scaling>
          <c:orientation val="minMax"/>
        </c:scaling>
        <c:delete val="0"/>
        <c:axPos val="l"/>
        <c:title>
          <c:tx>
            <c:rich>
              <a:bodyPr vertOverflow="clip"/>
              <a:lstStyle/>
              <a:p>
                <a:pPr>
                  <a:defRPr/>
                </a:pPr>
                <a:r>
                  <a:rPr lang="lv-LV"/>
                  <a:t>Projektu skaits</a:t>
                </a:r>
              </a:p>
            </c:rich>
          </c:tx>
          <c:layout>
            <c:manualLayout>
              <c:xMode val="edge"/>
              <c:yMode val="edge"/>
              <c:x val="0.0328456255598686"/>
              <c:y val="0.345247148288973"/>
            </c:manualLayout>
          </c:layout>
          <c:overlay val="0"/>
        </c:title>
        <c:numFmt formatCode="General" sourceLinked="1"/>
        <c:majorTickMark val="out"/>
        <c:minorTickMark val="none"/>
        <c:tickLblPos val="nextTo"/>
        <c:txPr>
          <a:bodyPr/>
          <a:lstStyle/>
          <a:p>
            <a:pPr>
              <a:defRPr sz="900"/>
            </a:pPr>
            <a:endParaRPr lang="lv-LV"/>
          </a:p>
        </c:txPr>
        <c:crossAx val="7889757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clip" lIns="0" tIns="0" rIns="0" bIns="0"/>
          <a:lstStyle/>
          <a:p>
            <a:pPr marL="0" marR="0" indent="0" algn="ctr" defTabSz="914400" fontAlgn="auto" hangingPunct="1">
              <a:lnSpc>
                <a:spcPct val="100000"/>
              </a:lnSpc>
              <a:defRPr lang="en-US" sz="1000" b="1" i="0" u="none" strike="noStrike" kern="1200" spc="0" baseline="0">
                <a:solidFill>
                  <a:srgbClr val="595959"/>
                </a:solidFill>
                <a:latin typeface="Calibri"/>
              </a:defRPr>
            </a:pPr>
            <a:r>
              <a:rPr lang="lv-LV" sz="1000" b="1" i="0" u="none" strike="noStrike" kern="1200" cap="none" spc="0" baseline="0">
                <a:solidFill>
                  <a:srgbClr val="595959"/>
                </a:solidFill>
                <a:uFillTx/>
                <a:latin typeface="Times New Roman" panose="02020603050405020304" pitchFamily="18" charset="0"/>
                <a:cs typeface="Times New Roman" panose="02020603050405020304" pitchFamily="18" charset="0"/>
              </a:rPr>
              <a:t>Plānotais mobilitāšu skaits sadalījumā pa valstīm</a:t>
            </a:r>
            <a:endParaRPr lang="en-US" sz="1000" b="1" i="0" u="none" strike="noStrike" kern="1200" cap="none" spc="0" baseline="0">
              <a:solidFill>
                <a:srgbClr val="595959"/>
              </a:solidFill>
              <a:uFillTx/>
              <a:latin typeface="Times New Roman" panose="02020603050405020304" pitchFamily="18" charset="0"/>
              <a:cs typeface="Times New Roman" panose="02020603050405020304" pitchFamily="18" charset="0"/>
            </a:endParaRPr>
          </a:p>
        </c:rich>
      </c:tx>
      <c:layout/>
      <c:overlay val="0"/>
      <c:spPr>
        <a:noFill/>
        <a:ln>
          <a:noFill/>
        </a:ln>
      </c:spPr>
    </c:title>
    <c:autoTitleDeleted val="0"/>
    <c:plotArea>
      <c:layout/>
      <c:barChart>
        <c:barDir val="col"/>
        <c:grouping val="clustered"/>
        <c:varyColors val="0"/>
        <c:ser>
          <c:idx val="0"/>
          <c:order val="0"/>
          <c:tx>
            <c:v/>
          </c:tx>
          <c:spPr>
            <a:solidFill>
              <a:srgbClr val="5B9BD5"/>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0-983D-40F1-8203-10BFF0957930}"/>
            </c:ext>
          </c:extLst>
        </c:ser>
        <c:ser>
          <c:idx val="1"/>
          <c:order val="1"/>
          <c:tx>
            <c:v/>
          </c:tx>
          <c:spPr>
            <a:solidFill>
              <a:srgbClr val="ED7D31"/>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1-983D-40F1-8203-10BFF0957930}"/>
            </c:ext>
          </c:extLst>
        </c:ser>
        <c:ser>
          <c:idx val="2"/>
          <c:order val="2"/>
          <c:tx>
            <c:v/>
          </c:tx>
          <c:spPr>
            <a:solidFill>
              <a:srgbClr val="A5A5A5"/>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2-983D-40F1-8203-10BFF0957930}"/>
            </c:ext>
          </c:extLst>
        </c:ser>
        <c:ser>
          <c:idx val="3"/>
          <c:order val="3"/>
          <c:tx>
            <c:v/>
          </c:tx>
          <c:spPr>
            <a:solidFill>
              <a:srgbClr val="FFC000"/>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3-983D-40F1-8203-10BFF0957930}"/>
            </c:ext>
          </c:extLst>
        </c:ser>
        <c:ser>
          <c:idx val="4"/>
          <c:order val="4"/>
          <c:tx>
            <c:v/>
          </c:tx>
          <c:spPr>
            <a:solidFill>
              <a:srgbClr val="4472C4"/>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4-983D-40F1-8203-10BFF0957930}"/>
            </c:ext>
          </c:extLst>
        </c:ser>
        <c:ser>
          <c:idx val="5"/>
          <c:order val="5"/>
          <c:tx>
            <c:v/>
          </c:tx>
          <c:spPr>
            <a:solidFill>
              <a:srgbClr val="70AD47"/>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5-983D-40F1-8203-10BFF0957930}"/>
            </c:ext>
          </c:extLst>
        </c:ser>
        <c:ser>
          <c:idx val="6"/>
          <c:order val="6"/>
          <c:tx>
            <c:v/>
          </c:tx>
          <c:spPr>
            <a:solidFill>
              <a:srgbClr val="255E91"/>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6-983D-40F1-8203-10BFF0957930}"/>
            </c:ext>
          </c:extLst>
        </c:ser>
        <c:ser>
          <c:idx val="7"/>
          <c:order val="7"/>
          <c:tx>
            <c:v>Skaits</c:v>
          </c:tx>
          <c:spPr>
            <a:solidFill>
              <a:srgbClr val="9E480E"/>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7-983D-40F1-8203-10BFF0957930}"/>
            </c:ext>
          </c:extLst>
        </c:ser>
        <c:ser>
          <c:idx val="8"/>
          <c:order val="8"/>
          <c:tx>
            <c:v/>
          </c:tx>
          <c:spPr>
            <a:solidFill>
              <a:srgbClr val="636363"/>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8-983D-40F1-8203-10BFF0957930}"/>
            </c:ext>
          </c:extLst>
        </c:ser>
        <c:ser>
          <c:idx val="9"/>
          <c:order val="9"/>
          <c:tx>
            <c:v/>
          </c:tx>
          <c:spPr>
            <a:solidFill>
              <a:srgbClr val="997300"/>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9-983D-40F1-8203-10BFF0957930}"/>
            </c:ext>
          </c:extLst>
        </c:ser>
        <c:ser>
          <c:idx val="10"/>
          <c:order val="10"/>
          <c:tx>
            <c:v/>
          </c:tx>
          <c:spPr>
            <a:solidFill>
              <a:srgbClr val="264478"/>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A-983D-40F1-8203-10BFF0957930}"/>
            </c:ext>
          </c:extLst>
        </c:ser>
        <c:ser>
          <c:idx val="11"/>
          <c:order val="11"/>
          <c:tx>
            <c:v/>
          </c:tx>
          <c:spPr>
            <a:solidFill>
              <a:srgbClr val="43682B"/>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B-983D-40F1-8203-10BFF0957930}"/>
            </c:ext>
          </c:extLst>
        </c:ser>
        <c:ser>
          <c:idx val="12"/>
          <c:order val="12"/>
          <c:tx>
            <c:v/>
          </c:tx>
          <c:spPr>
            <a:solidFill>
              <a:srgbClr val="7CAFDD"/>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C-983D-40F1-8203-10BFF0957930}"/>
            </c:ext>
          </c:extLst>
        </c:ser>
        <c:ser>
          <c:idx val="13"/>
          <c:order val="13"/>
          <c:tx>
            <c:v/>
          </c:tx>
          <c:spPr>
            <a:solidFill>
              <a:srgbClr val="F1975A"/>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D-983D-40F1-8203-10BFF0957930}"/>
            </c:ext>
          </c:extLst>
        </c:ser>
        <c:ser>
          <c:idx val="14"/>
          <c:order val="14"/>
          <c:tx>
            <c:v/>
          </c:tx>
          <c:spPr>
            <a:solidFill>
              <a:srgbClr val="B7B7B7"/>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E-983D-40F1-8203-10BFF0957930}"/>
            </c:ext>
          </c:extLst>
        </c:ser>
        <c:ser>
          <c:idx val="15"/>
          <c:order val="15"/>
          <c:tx>
            <c:v/>
          </c:tx>
          <c:spPr>
            <a:solidFill>
              <a:srgbClr val="FFCD33"/>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0F-983D-40F1-8203-10BFF0957930}"/>
            </c:ext>
          </c:extLst>
        </c:ser>
        <c:ser>
          <c:idx val="16"/>
          <c:order val="16"/>
          <c:tx>
            <c:v/>
          </c:tx>
          <c:spPr>
            <a:solidFill>
              <a:srgbClr val="698ED0"/>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0-983D-40F1-8203-10BFF0957930}"/>
            </c:ext>
          </c:extLst>
        </c:ser>
        <c:ser>
          <c:idx val="17"/>
          <c:order val="17"/>
          <c:tx>
            <c:v/>
          </c:tx>
          <c:spPr>
            <a:solidFill>
              <a:srgbClr val="8CC168"/>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1-983D-40F1-8203-10BFF0957930}"/>
            </c:ext>
          </c:extLst>
        </c:ser>
        <c:ser>
          <c:idx val="18"/>
          <c:order val="18"/>
          <c:tx>
            <c:v/>
          </c:tx>
          <c:spPr>
            <a:solidFill>
              <a:srgbClr val="327DC2"/>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2-983D-40F1-8203-10BFF0957930}"/>
            </c:ext>
          </c:extLst>
        </c:ser>
        <c:ser>
          <c:idx val="19"/>
          <c:order val="19"/>
          <c:tx>
            <c:v/>
          </c:tx>
          <c:spPr>
            <a:solidFill>
              <a:srgbClr val="D26012"/>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3-983D-40F1-8203-10BFF0957930}"/>
            </c:ext>
          </c:extLst>
        </c:ser>
        <c:ser>
          <c:idx val="20"/>
          <c:order val="20"/>
          <c:tx>
            <c:v/>
          </c:tx>
          <c:spPr>
            <a:solidFill>
              <a:srgbClr val="848484"/>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4-983D-40F1-8203-10BFF0957930}"/>
            </c:ext>
          </c:extLst>
        </c:ser>
        <c:ser>
          <c:idx val="21"/>
          <c:order val="21"/>
          <c:tx>
            <c:v/>
          </c:tx>
          <c:spPr>
            <a:solidFill>
              <a:srgbClr val="CC9A00"/>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5-983D-40F1-8203-10BFF0957930}"/>
            </c:ext>
          </c:extLst>
        </c:ser>
        <c:ser>
          <c:idx val="22"/>
          <c:order val="22"/>
          <c:tx>
            <c:v/>
          </c:tx>
          <c:spPr>
            <a:solidFill>
              <a:srgbClr val="335AA1"/>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6-983D-40F1-8203-10BFF0957930}"/>
            </c:ext>
          </c:extLst>
        </c:ser>
        <c:ser>
          <c:idx val="23"/>
          <c:order val="23"/>
          <c:tx>
            <c:v/>
          </c:tx>
          <c:spPr>
            <a:solidFill>
              <a:srgbClr val="5A8A39"/>
            </a:solidFill>
            <a:ln>
              <a:noFill/>
            </a:ln>
          </c:spPr>
          <c:invertIfNegative val="0"/>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Lit>
          </c:val>
          <c:extLst>
            <c:ext xmlns:c="http://schemas.openxmlformats.org/drawingml/2006/chart" xmlns:c16="http://schemas.microsoft.com/office/drawing/2014/chart" uri="{C3380CC4-5D6E-409C-BE32-E72D297353CC}">
              <c16:uniqueId val="{00000017-983D-40F1-8203-10BFF0957930}"/>
            </c:ext>
          </c:extLst>
        </c:ser>
        <c:ser>
          <c:idx val="24"/>
          <c:order val="24"/>
          <c:tx>
            <c:v>Skaits</c:v>
          </c:tx>
          <c:spPr>
            <a:solidFill>
              <a:srgbClr val="1F4E79"/>
            </a:solidFill>
            <a:ln>
              <a:noFill/>
            </a:ln>
          </c:spPr>
          <c:invertIfNegative val="0"/>
          <c:dLbls>
            <c:spPr>
              <a:noFill/>
              <a:ln>
                <a:noFill/>
              </a:ln>
              <a:effectLst/>
            </c:spPr>
            <c:txPr>
              <a:bodyPr lIns="0" tIns="0" rIns="0" bIns="0"/>
              <a:lstStyle/>
              <a:p>
                <a:pPr marL="0" marR="0" indent="0" algn="ctr" defTabSz="914400" fontAlgn="auto" hangingPunct="1">
                  <a:lnSpc>
                    <a:spcPct val="100000"/>
                  </a:lnSpc>
                  <a:defRPr lang="en-US" sz="900" b="0" i="0" u="none" strike="noStrike" kern="1200" baseline="0">
                    <a:solidFill>
                      <a:srgbClr val="404040"/>
                    </a:solidFill>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17"/>
              <c:pt idx="0">
                <c:v>Igaunija</c:v>
              </c:pt>
              <c:pt idx="1">
                <c:v>Lietuva</c:v>
              </c:pt>
              <c:pt idx="2">
                <c:v>Vācija</c:v>
              </c:pt>
              <c:pt idx="3">
                <c:v>UK</c:v>
              </c:pt>
              <c:pt idx="4">
                <c:v>Zviedrija</c:v>
              </c:pt>
              <c:pt idx="5">
                <c:v>ASV</c:v>
              </c:pt>
              <c:pt idx="6">
                <c:v>Somija</c:v>
              </c:pt>
              <c:pt idx="7">
                <c:v>Nīderlande</c:v>
              </c:pt>
              <c:pt idx="8">
                <c:v>Itālija</c:v>
              </c:pt>
              <c:pt idx="9">
                <c:v>Francija</c:v>
              </c:pt>
              <c:pt idx="10">
                <c:v>Norvēģija</c:v>
              </c:pt>
              <c:pt idx="11">
                <c:v>Polija</c:v>
              </c:pt>
              <c:pt idx="12">
                <c:v>Dānija</c:v>
              </c:pt>
              <c:pt idx="13">
                <c:v>Čehija</c:v>
              </c:pt>
              <c:pt idx="14">
                <c:v>Īrija</c:v>
              </c:pt>
              <c:pt idx="15">
                <c:v>Spānija</c:v>
              </c:pt>
              <c:pt idx="16">
                <c:v>Šveice</c:v>
              </c:pt>
            </c:strLit>
          </c:cat>
          <c:val>
            <c:numLit>
              <c:formatCode>General</c:formatCode>
              <c:ptCount val="17"/>
              <c:pt idx="0">
                <c:v>24</c:v>
              </c:pt>
              <c:pt idx="1">
                <c:v>23</c:v>
              </c:pt>
              <c:pt idx="2">
                <c:v>22</c:v>
              </c:pt>
              <c:pt idx="3">
                <c:v>15</c:v>
              </c:pt>
              <c:pt idx="4">
                <c:v>14</c:v>
              </c:pt>
              <c:pt idx="5">
                <c:v>12</c:v>
              </c:pt>
              <c:pt idx="6">
                <c:v>12</c:v>
              </c:pt>
              <c:pt idx="7">
                <c:v>8</c:v>
              </c:pt>
              <c:pt idx="8">
                <c:v>7</c:v>
              </c:pt>
              <c:pt idx="9">
                <c:v>7</c:v>
              </c:pt>
              <c:pt idx="10">
                <c:v>7</c:v>
              </c:pt>
              <c:pt idx="11">
                <c:v>7</c:v>
              </c:pt>
              <c:pt idx="12">
                <c:v>6</c:v>
              </c:pt>
              <c:pt idx="13">
                <c:v>4</c:v>
              </c:pt>
              <c:pt idx="14">
                <c:v>4</c:v>
              </c:pt>
              <c:pt idx="15">
                <c:v>4</c:v>
              </c:pt>
              <c:pt idx="16">
                <c:v>4</c:v>
              </c:pt>
            </c:numLit>
          </c:val>
          <c:extLst>
            <c:ext xmlns:c="http://schemas.openxmlformats.org/drawingml/2006/chart" xmlns:c16="http://schemas.microsoft.com/office/drawing/2014/chart" uri="{C3380CC4-5D6E-409C-BE32-E72D297353CC}">
              <c16:uniqueId val="{00000018-983D-40F1-8203-10BFF0957930}"/>
            </c:ext>
          </c:extLst>
        </c:ser>
        <c:dLbls>
          <c:showLegendKey val="0"/>
          <c:showVal val="0"/>
          <c:showCatName val="0"/>
          <c:showSerName val="0"/>
          <c:showPercent val="0"/>
          <c:showBubbleSize val="0"/>
        </c:dLbls>
        <c:gapWidth val="219"/>
        <c:overlap val="-27"/>
        <c:axId val="702106504"/>
        <c:axId val="702108856"/>
      </c:barChart>
      <c:valAx>
        <c:axId val="702108856"/>
        <c:scaling>
          <c:orientation val="minMax"/>
        </c:scaling>
        <c:delete val="0"/>
        <c:axPos val="l"/>
        <c:majorGridlines>
          <c:spPr>
            <a:ln w="9528">
              <a:solidFill>
                <a:srgbClr val="D9D9D9"/>
              </a:solidFill>
              <a:round/>
            </a:ln>
          </c:spPr>
        </c:majorGridlines>
        <c:numFmt formatCode="General" sourceLinked="0"/>
        <c:majorTickMark val="none"/>
        <c:minorTickMark val="none"/>
        <c:tickLblPos val="nextTo"/>
        <c:spPr>
          <a:noFill/>
          <a:ln w="6350">
            <a:noFill/>
          </a:ln>
        </c:spPr>
        <c:txPr>
          <a:bodyPr lIns="0" tIns="0" rIns="0" bIns="0"/>
          <a:lstStyle/>
          <a:p>
            <a:pPr marL="0" marR="0" indent="0" defTabSz="914400" fontAlgn="auto" hangingPunct="1">
              <a:lnSpc>
                <a:spcPct val="100000"/>
              </a:lnSpc>
              <a:defRPr lang="en-US"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702106504"/>
        <c:crosses val="autoZero"/>
        <c:crossBetween val="between"/>
      </c:valAx>
      <c:catAx>
        <c:axId val="702106504"/>
        <c:scaling>
          <c:orientation val="minMax"/>
        </c:scaling>
        <c:delete val="0"/>
        <c:axPos val="b"/>
        <c:numFmt formatCode="General" sourceLinked="0"/>
        <c:majorTickMark val="none"/>
        <c:minorTickMark val="none"/>
        <c:tickLblPos val="nextTo"/>
        <c:spPr>
          <a:noFill/>
          <a:ln w="9528">
            <a:solidFill>
              <a:srgbClr val="D9D9D9"/>
            </a:solidFill>
            <a:round/>
          </a:ln>
        </c:spPr>
        <c:txPr>
          <a:bodyPr rot="-2700000" lIns="0" tIns="0" rIns="0" bIns="0"/>
          <a:lstStyle/>
          <a:p>
            <a:pPr marL="0" marR="0" indent="0" defTabSz="914400" fontAlgn="auto" hangingPunct="1">
              <a:lnSpc>
                <a:spcPct val="100000"/>
              </a:lnSpc>
              <a:defRPr lang="en-US"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702108856"/>
        <c:crosses val="autoZero"/>
        <c:auto val="1"/>
        <c:lblAlgn val="ctr"/>
        <c:lblOffset val="100"/>
        <c:noMultiLvlLbl val="0"/>
      </c:catAx>
      <c:spPr>
        <a:noFill/>
        <a:ln>
          <a:noFill/>
        </a:ln>
      </c:spPr>
    </c:plotArea>
    <c:plotVisOnly val="1"/>
    <c:dispBlanksAs val="gap"/>
    <c:showDLblsOverMax val="0"/>
  </c:chart>
  <c:spPr>
    <a:solidFill>
      <a:srgbClr val="FFFFFF"/>
    </a:solidFill>
    <a:ln w="9528">
      <a:solidFill>
        <a:srgbClr val="D9D9D9"/>
      </a:solidFill>
      <a:round/>
    </a:ln>
  </c:spPr>
  <c:txPr>
    <a:bodyPr lIns="0" tIns="0" rIns="0" bIns="0"/>
    <a:lstStyle/>
    <a:p>
      <a:pPr marL="0" marR="0" indent="0" defTabSz="914400" fontAlgn="auto" hangingPunct="1">
        <a:lnSpc>
          <a:spcPct val="100000"/>
        </a:lnSpc>
        <a:defRPr lang="en-US" sz="1000" b="0" i="0" u="none" strike="noStrike" kern="1200" baseline="0">
          <a:solidFill>
            <a:srgbClr val="000000"/>
          </a:solidFill>
          <a:latin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AtskaiteVeiktieMaksajumi!$S$148</c:f>
              <c:strCache>
                <c:ptCount val="1"/>
                <c:pt idx="0">
                  <c:v>veiktie ERAF maksājumi</c:v>
                </c:pt>
              </c:strCache>
            </c:strRef>
          </c:tx>
          <c:spPr>
            <a:solidFill>
              <a:schemeClr val="accent6">
                <a:shade val="76000"/>
              </a:schemeClr>
            </a:solidFill>
            <a:ln>
              <a:noFill/>
            </a:ln>
            <a:effectLst/>
          </c:spPr>
          <c:invertIfNegative val="0"/>
          <c:val>
            <c:numRef>
              <c:f>AtskaiteVeiktieMaksajumi!$S$149</c:f>
              <c:numCache>
                <c:formatCode>#,##0</c:formatCode>
                <c:ptCount val="1"/>
                <c:pt idx="0">
                  <c:v>2260040.3400000003</c:v>
                </c:pt>
              </c:numCache>
            </c:numRef>
          </c:val>
        </c:ser>
        <c:ser>
          <c:idx val="1"/>
          <c:order val="1"/>
          <c:tx>
            <c:strRef>
              <c:f>AtskaiteVeiktieMaksajumi!$T$148</c:f>
              <c:strCache>
                <c:ptCount val="1"/>
                <c:pt idx="0">
                  <c:v>pieejamais ERAF finansējums</c:v>
                </c:pt>
              </c:strCache>
            </c:strRef>
          </c:tx>
          <c:spPr>
            <a:solidFill>
              <a:schemeClr val="accent6">
                <a:tint val="77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AtskaiteVeiktieMaksajumi!$T$149</c:f>
              <c:numCache>
                <c:formatCode>#,##0</c:formatCode>
                <c:ptCount val="1"/>
                <c:pt idx="0">
                  <c:v>62775901.66</c:v>
                </c:pt>
              </c:numCache>
            </c:numRef>
          </c:val>
        </c:ser>
        <c:dLbls>
          <c:showLegendKey val="0"/>
          <c:showVal val="0"/>
          <c:showCatName val="0"/>
          <c:showSerName val="0"/>
          <c:showPercent val="0"/>
          <c:showBubbleSize val="0"/>
        </c:dLbls>
        <c:gapWidth val="150"/>
        <c:overlap val="100"/>
        <c:axId val="702107288"/>
        <c:axId val="702109248"/>
      </c:barChart>
      <c:catAx>
        <c:axId val="702107288"/>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2109248"/>
        <c:crosses val="autoZero"/>
        <c:auto val="1"/>
        <c:lblAlgn val="ctr"/>
        <c:lblOffset val="100"/>
        <c:noMultiLvlLbl val="0"/>
      </c:catAx>
      <c:valAx>
        <c:axId val="702109248"/>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2107288"/>
        <c:crosses val="autoZero"/>
        <c:crossBetween val="between"/>
      </c:val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28527062757525"/>
          <c:y val="0.288534046451741"/>
          <c:w val="0.313855814752128"/>
          <c:h val="0.633633437329768"/>
        </c:manualLayout>
      </c:layout>
      <c:pieChart>
        <c:varyColors val="1"/>
        <c:ser>
          <c:idx val="0"/>
          <c:order val="0"/>
          <c:dPt>
            <c:idx val="0"/>
            <c:bubble3D val="0"/>
            <c:spPr>
              <a:solidFill>
                <a:schemeClr val="accent1"/>
              </a:solidFill>
              <a:ln w="19050">
                <a:solidFill>
                  <a:schemeClr val="lt1"/>
                </a:solidFill>
              </a:ln>
              <a:effectLst/>
            </c:spPr>
            <c:extLst>
              <c:ext xmlns:c="http://schemas.openxmlformats.org/drawingml/2006/chart" xmlns:c16="http://schemas.microsoft.com/office/drawing/2014/chart" uri="{C3380CC4-5D6E-409C-BE32-E72D297353CC}">
                <c16:uniqueId val="{00000001-B2DE-41EB-977D-FD6CD56F0B46}"/>
              </c:ext>
            </c:extLst>
          </c:dPt>
          <c:dPt>
            <c:idx val="1"/>
            <c:bubble3D val="0"/>
            <c:spPr>
              <a:solidFill>
                <a:schemeClr val="accent2"/>
              </a:solidFill>
              <a:ln w="19050">
                <a:solidFill>
                  <a:schemeClr val="lt1"/>
                </a:solidFill>
              </a:ln>
              <a:effectLst/>
            </c:spPr>
            <c:extLst>
              <c:ext xmlns:c="http://schemas.openxmlformats.org/drawingml/2006/chart" xmlns:c16="http://schemas.microsoft.com/office/drawing/2014/chart" uri="{C3380CC4-5D6E-409C-BE32-E72D297353CC}">
                <c16:uniqueId val="{00000003-B2DE-41EB-977D-FD6CD56F0B46}"/>
              </c:ext>
            </c:extLst>
          </c:dPt>
          <c:dPt>
            <c:idx val="2"/>
            <c:bubble3D val="0"/>
            <c:spPr>
              <a:solidFill>
                <a:schemeClr val="accent3"/>
              </a:solidFill>
              <a:ln w="19050">
                <a:solidFill>
                  <a:schemeClr val="lt1"/>
                </a:solidFill>
              </a:ln>
              <a:effectLst/>
            </c:spPr>
            <c:extLst>
              <c:ext xmlns:c="http://schemas.openxmlformats.org/drawingml/2006/chart" xmlns:c16="http://schemas.microsoft.com/office/drawing/2014/chart" uri="{C3380CC4-5D6E-409C-BE32-E72D297353CC}">
                <c16:uniqueId val="{00000005-B2DE-41EB-977D-FD6CD56F0B46}"/>
              </c:ext>
            </c:extLst>
          </c:dPt>
          <c:dPt>
            <c:idx val="3"/>
            <c:bubble3D val="0"/>
            <c:spPr>
              <a:solidFill>
                <a:schemeClr val="accent4"/>
              </a:solidFill>
              <a:ln w="19050">
                <a:solidFill>
                  <a:schemeClr val="lt1"/>
                </a:solidFill>
              </a:ln>
              <a:effectLst/>
            </c:spPr>
            <c:extLst>
              <c:ext xmlns:c="http://schemas.openxmlformats.org/drawingml/2006/chart" xmlns:c16="http://schemas.microsoft.com/office/drawing/2014/chart" uri="{C3380CC4-5D6E-409C-BE32-E72D297353CC}">
                <c16:uniqueId val="{00000007-B2DE-41EB-977D-FD6CD56F0B46}"/>
              </c:ext>
            </c:extLst>
          </c:dPt>
          <c:dPt>
            <c:idx val="4"/>
            <c:bubble3D val="0"/>
            <c:spPr>
              <a:solidFill>
                <a:schemeClr val="accent5"/>
              </a:solidFill>
              <a:ln w="19050">
                <a:solidFill>
                  <a:schemeClr val="lt1"/>
                </a:solidFill>
              </a:ln>
              <a:effectLst/>
            </c:spPr>
            <c:extLst>
              <c:ext xmlns:c="http://schemas.openxmlformats.org/drawingml/2006/chart" xmlns:c16="http://schemas.microsoft.com/office/drawing/2014/chart" uri="{C3380CC4-5D6E-409C-BE32-E72D297353CC}">
                <c16:uniqueId val="{00000009-B2DE-41EB-977D-FD6CD56F0B46}"/>
              </c:ext>
            </c:extLst>
          </c:dPt>
          <c:dLbls>
            <c:dLbl>
              <c:idx val="0"/>
              <c:layout>
                <c:manualLayout>
                  <c:x val="0.0545808966861598"/>
                  <c:y val="-0.0454287417991284"/>
                </c:manualLayout>
              </c:layout>
              <c:tx>
                <c:rich>
                  <a:bodyPr vertOverflow="clip"/>
                  <a:lstStyle/>
                  <a:p>
                    <a:r>
                      <a:rPr lang="en-US" baseline="0"/>
                      <a:t>16,38; </a:t>
                    </a:r>
                    <a:fld id="{d861c336-a0e2-4bbd-875b-06f79a3fffce}" type="PERCENTAGE">
                      <a:rPr lang="en-US" baseline="0"/>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showDataLabelsRange val="1"/>
                </c:ext>
              </c:extLst>
            </c:dLbl>
            <c:dLbl>
              <c:idx val="1"/>
              <c:layout>
                <c:manualLayout>
                  <c:x val="0.0623781676413254"/>
                  <c:y val="0.00908574835982568"/>
                </c:manualLayout>
              </c:layout>
              <c:tx>
                <c:rich>
                  <a:bodyPr vertOverflow="clip"/>
                  <a:lstStyle/>
                  <a:p>
                    <a:fld id="{1c85af4c-1c4f-4210-b6d9-38507a48e64a}" type="CELLRANGE">
                      <a:rPr lang="en-US" baseline="0"/>
                      <a:t>€ 3.35</a:t>
                    </a:fld>
                    <a:r>
                      <a:rPr lang="en-US" baseline="0"/>
                      <a:t>; </a:t>
                    </a:r>
                    <a:fld id="{a2a4233e-7bbd-467e-a380-d65e0b0d3b42}" type="PERCENTAGE">
                      <a:rPr lang="en-US" baseline="0"/>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showDataLabelsRange val="1"/>
                </c:ext>
              </c:extLst>
            </c:dLbl>
            <c:dLbl>
              <c:idx val="2"/>
              <c:layout>
                <c:manualLayout>
                  <c:x val="-0.0311890838206628"/>
                  <c:y val="-0.0136286225397385"/>
                </c:manualLayout>
              </c:layout>
              <c:tx>
                <c:rich>
                  <a:bodyPr vertOverflow="clip"/>
                  <a:lstStyle/>
                  <a:p>
                    <a:fld id="{eb589408-7600-4fce-b105-3df04ebe8bfa}" type="CELLRANGE">
                      <a:rPr lang="en-US" baseline="0"/>
                      <a:t>€ 13.66</a:t>
                    </a:fld>
                    <a:r>
                      <a:rPr lang="en-US" baseline="0"/>
                      <a:t>; </a:t>
                    </a:r>
                    <a:fld id="{68c7430e-4ccb-4064-871d-89a30d08dc36}" type="PERCENTAGE">
                      <a:rPr lang="en-US" baseline="0"/>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showDataLabelsRange val="1"/>
                </c:ext>
              </c:extLst>
            </c:dLbl>
            <c:dLbl>
              <c:idx val="3"/>
              <c:layout>
                <c:manualLayout>
                  <c:x val="-0.0441845354126056"/>
                  <c:y val="-8.32850645155632E-17"/>
                </c:manualLayout>
              </c:layout>
              <c:tx>
                <c:rich>
                  <a:bodyPr vertOverflow="clip"/>
                  <a:lstStyle/>
                  <a:p>
                    <a:fld id="{ba0777dd-e83c-44ed-82dd-782c7a66681e}" type="CELLRANGE">
                      <a:rPr lang="en-US" baseline="0"/>
                      <a:t>€ 5.24</a:t>
                    </a:fld>
                    <a:r>
                      <a:rPr lang="en-US" baseline="0"/>
                      <a:t>; </a:t>
                    </a:r>
                    <a:fld id="{4990b7fb-daf7-407d-b591-ea76da8b3898}" type="PERCENTAGE">
                      <a:rPr lang="en-US" baseline="0"/>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showDataLabelsRange val="1"/>
                </c:ext>
              </c:extLst>
            </c:dLbl>
            <c:dLbl>
              <c:idx val="4"/>
              <c:layout>
                <c:manualLayout>
                  <c:x val="-0.0493827160493827"/>
                  <c:y val="-0.0408858676192156"/>
                </c:manualLayout>
              </c:layout>
              <c:tx>
                <c:rich>
                  <a:bodyPr vertOverflow="clip"/>
                  <a:lstStyle/>
                  <a:p>
                    <a:fld id="{40da52cc-b022-48f1-bdb3-eef949fd029f}" type="CELLRANGE">
                      <a:rPr lang="en-US" baseline="0"/>
                      <a:t>€ 5.66</a:t>
                    </a:fld>
                    <a:r>
                      <a:rPr lang="en-US" baseline="0"/>
                      <a:t>; </a:t>
                    </a:r>
                    <a:fld id="{5b903356-fbfc-49db-ba78-222bfbff808f}" type="PERCENTAGE">
                      <a:rPr lang="en-US" baseline="0"/>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showDataLabelsRange val="1"/>
                </c:ext>
              </c:extLst>
            </c:dLbl>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'1111 grafiki'!$B$3:$B$7</c:f>
              <c:strCache>
                <c:ptCount val="5"/>
                <c:pt idx="0">
                  <c:v>Viedie materiāli, tehnoloģijas un inženiersistēmas</c:v>
                </c:pt>
                <c:pt idx="1">
                  <c:v>Zināšanu ietilpīga bioekonomika</c:v>
                </c:pt>
                <c:pt idx="2">
                  <c:v>Biomedicīna, medicīnas tehnoloģijas, biofarmācija un biotehnoloģijas</c:v>
                </c:pt>
                <c:pt idx="3">
                  <c:v>Informācijas un komunikāciju tehnoloģijas</c:v>
                </c:pt>
                <c:pt idx="4">
                  <c:v>Viedā enerģētika</c:v>
                </c:pt>
              </c:strCache>
            </c:strRef>
          </c:cat>
          <c:val>
            <c:numRef>
              <c:f>'1111 grafiki'!$F$3:$F$7</c:f>
              <c:numCache>
                <c:formatCode>#,##0</c:formatCode>
                <c:ptCount val="5"/>
                <c:pt idx="0">
                  <c:v>11</c:v>
                </c:pt>
                <c:pt idx="1">
                  <c:v>3350146.32</c:v>
                </c:pt>
                <c:pt idx="2">
                  <c:v>13658792.120000003</c:v>
                </c:pt>
                <c:pt idx="3">
                  <c:v>5238642.6000000006</c:v>
                </c:pt>
                <c:pt idx="4">
                  <c:v>5665089.31</c:v>
                </c:pt>
              </c:numCache>
            </c:numRef>
          </c:val>
          <c:extLst>
            <c:ext xmlns:c="http://schemas.openxmlformats.org/drawingml/2006/chart" xmlns:c16="http://schemas.microsoft.com/office/drawing/2014/chart" uri="{C3380CC4-5D6E-409C-BE32-E72D297353CC}">
              <c16:uniqueId val="{0000000A-B2DE-41EB-977D-FD6CD56F0B46}"/>
            </c:ext>
            <c:ext xmlns:c15="http://schemas.microsoft.com/office/drawing/2012/chart" uri="{02D57815-91ED-43cb-92C2-25804820EDAC}">
              <c15:datalabelsRange>
                <c15:f>'1111 grafiki'!$V$2:$V$6</c15:f>
                <c15:dlblRangeCache>
                  <c:ptCount val="5"/>
                  <c:pt idx="0">
                    <c:v>€ 16.99</c:v>
                  </c:pt>
                  <c:pt idx="1">
                    <c:v>€ 3.35</c:v>
                  </c:pt>
                  <c:pt idx="2">
                    <c:v>€ 13.66</c:v>
                  </c:pt>
                  <c:pt idx="3">
                    <c:v>€ 5.24</c:v>
                  </c:pt>
                  <c:pt idx="4">
                    <c:v>€ 5.66</c:v>
                  </c:pt>
                </c15:dlblRangeCache>
              </c15:datalabelsRang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5075842170276"/>
          <c:y val="0.233571335901979"/>
          <c:w val="0.405216035679836"/>
          <c:h val="0.634580050943701"/>
        </c:manualLayout>
      </c:layout>
      <c:pieChart>
        <c:varyColors val="1"/>
        <c:ser>
          <c:idx val="0"/>
          <c:order val="0"/>
          <c:dPt>
            <c:idx val="0"/>
            <c:bubble3D val="0"/>
            <c:spPr>
              <a:solidFill>
                <a:schemeClr val="accent1"/>
              </a:solidFill>
              <a:ln w="19050">
                <a:solidFill>
                  <a:schemeClr val="lt1"/>
                </a:solidFill>
              </a:ln>
              <a:effectLst/>
            </c:spPr>
            <c:extLst>
              <c:ext xmlns:c="http://schemas.openxmlformats.org/drawingml/2006/chart" xmlns:c16="http://schemas.microsoft.com/office/drawing/2014/chart" uri="{C3380CC4-5D6E-409C-BE32-E72D297353CC}">
                <c16:uniqueId val="{00000001-F8C7-4DEE-B13F-967C6E50245F}"/>
              </c:ext>
            </c:extLst>
          </c:dPt>
          <c:dPt>
            <c:idx val="1"/>
            <c:bubble3D val="0"/>
            <c:spPr>
              <a:solidFill>
                <a:schemeClr val="accent2"/>
              </a:solidFill>
              <a:ln w="19050">
                <a:solidFill>
                  <a:schemeClr val="lt1"/>
                </a:solidFill>
              </a:ln>
              <a:effectLst/>
            </c:spPr>
            <c:extLst>
              <c:ext xmlns:c="http://schemas.openxmlformats.org/drawingml/2006/chart" xmlns:c16="http://schemas.microsoft.com/office/drawing/2014/chart" uri="{C3380CC4-5D6E-409C-BE32-E72D297353CC}">
                <c16:uniqueId val="{00000003-F8C7-4DEE-B13F-967C6E50245F}"/>
              </c:ext>
            </c:extLst>
          </c:dPt>
          <c:dPt>
            <c:idx val="2"/>
            <c:bubble3D val="0"/>
            <c:spPr>
              <a:solidFill>
                <a:schemeClr val="accent3"/>
              </a:solidFill>
              <a:ln w="19050">
                <a:solidFill>
                  <a:schemeClr val="lt1"/>
                </a:solidFill>
              </a:ln>
              <a:effectLst/>
            </c:spPr>
            <c:extLst>
              <c:ext xmlns:c="http://schemas.openxmlformats.org/drawingml/2006/chart" xmlns:c16="http://schemas.microsoft.com/office/drawing/2014/chart" uri="{C3380CC4-5D6E-409C-BE32-E72D297353CC}">
                <c16:uniqueId val="{00000005-F8C7-4DEE-B13F-967C6E50245F}"/>
              </c:ext>
            </c:extLst>
          </c:dPt>
          <c:dPt>
            <c:idx val="3"/>
            <c:bubble3D val="0"/>
            <c:spPr>
              <a:solidFill>
                <a:schemeClr val="accent4"/>
              </a:solidFill>
              <a:ln w="19050">
                <a:solidFill>
                  <a:schemeClr val="lt1"/>
                </a:solidFill>
              </a:ln>
              <a:effectLst/>
            </c:spPr>
            <c:extLst>
              <c:ext xmlns:c="http://schemas.openxmlformats.org/drawingml/2006/chart" xmlns:c16="http://schemas.microsoft.com/office/drawing/2014/chart" uri="{C3380CC4-5D6E-409C-BE32-E72D297353CC}">
                <c16:uniqueId val="{00000007-F8C7-4DEE-B13F-967C6E50245F}"/>
              </c:ext>
            </c:extLst>
          </c:dPt>
          <c:dPt>
            <c:idx val="4"/>
            <c:bubble3D val="0"/>
            <c:spPr>
              <a:solidFill>
                <a:schemeClr val="accent5"/>
              </a:solidFill>
              <a:ln w="19050">
                <a:solidFill>
                  <a:schemeClr val="lt1"/>
                </a:solidFill>
              </a:ln>
              <a:effectLst/>
            </c:spPr>
            <c:extLst>
              <c:ext xmlns:c="http://schemas.openxmlformats.org/drawingml/2006/chart" xmlns:c16="http://schemas.microsoft.com/office/drawing/2014/chart" uri="{C3380CC4-5D6E-409C-BE32-E72D297353CC}">
                <c16:uniqueId val="{00000009-F8C7-4DEE-B13F-967C6E50245F}"/>
              </c:ext>
            </c:extLst>
          </c:dPt>
          <c:dPt>
            <c:idx val="5"/>
            <c:bubble3D val="0"/>
            <c:spPr>
              <a:solidFill>
                <a:schemeClr val="accent6"/>
              </a:solidFill>
              <a:ln w="19050">
                <a:solidFill>
                  <a:schemeClr val="lt1"/>
                </a:solidFill>
              </a:ln>
              <a:effectLst/>
            </c:spPr>
            <c:extLst>
              <c:ext xmlns:c="http://schemas.openxmlformats.org/drawingml/2006/chart" xmlns:c16="http://schemas.microsoft.com/office/drawing/2014/chart" uri="{C3380CC4-5D6E-409C-BE32-E72D297353CC}">
                <c16:uniqueId val="{0000000B-F8C7-4DEE-B13F-967C6E50245F}"/>
              </c:ext>
            </c:extLst>
          </c:dPt>
          <c:dLbls>
            <c:dLbl>
              <c:idx val="0"/>
              <c:tx>
                <c:rich>
                  <a:bodyPr vertOverflow="clip"/>
                  <a:lstStyle/>
                  <a:p>
                    <a:r>
                      <a:rPr lang="en-US" baseline="0"/>
                      <a:t>4,68; 28%</a:t>
                    </a:r>
                  </a:p>
                </c:rich>
              </c:tx>
              <c:dLblPos val="outEnd"/>
              <c:showLegendKey val="0"/>
              <c:showVal val="0"/>
              <c:showCatName val="0"/>
              <c:showSerName val="0"/>
              <c:showPercent val="1"/>
              <c:showBubbleSize val="0"/>
              <c:extLst>
                <c:ext xmlns:c15="http://schemas.microsoft.com/office/drawing/2012/chart" uri="{CE6537A1-D6FC-4f65-9D91-7224C49458BB}"/>
              </c:extLst>
            </c:dLbl>
            <c:dLbl>
              <c:idx val="1"/>
              <c:tx>
                <c:rich>
                  <a:bodyPr vertOverflow="clip"/>
                  <a:lstStyle/>
                  <a:p>
                    <a:r>
                      <a:rPr lang="en-US"/>
                      <a:t>1,56</a:t>
                    </a:r>
                    <a:r>
                      <a:rPr lang="en-US" baseline="0"/>
                      <a:t>; 9%</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2"/>
              <c:tx>
                <c:rich>
                  <a:bodyPr vertOverflow="clip"/>
                  <a:lstStyle/>
                  <a:p>
                    <a:r>
                      <a:rPr lang="en-US"/>
                      <a:t>3,59</a:t>
                    </a:r>
                    <a:r>
                      <a:rPr lang="en-US" baseline="0"/>
                      <a:t>; 22%</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3"/>
              <c:tx>
                <c:rich>
                  <a:bodyPr vertOverflow="clip"/>
                  <a:lstStyle/>
                  <a:p>
                    <a:r>
                      <a:rPr lang="en-US"/>
                      <a:t>2,54</a:t>
                    </a:r>
                    <a:r>
                      <a:rPr lang="en-US" baseline="0"/>
                      <a:t>; 15%</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4"/>
              <c:tx>
                <c:rich>
                  <a:bodyPr vertOverflow="clip"/>
                  <a:lstStyle/>
                  <a:p>
                    <a:r>
                      <a:rPr lang="en-US"/>
                      <a:t>1,07</a:t>
                    </a:r>
                    <a:r>
                      <a:rPr lang="en-US" baseline="0"/>
                      <a:t>; 7%</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dLbl>
              <c:idx val="5"/>
              <c:tx>
                <c:rich>
                  <a:bodyPr vertOverflow="clip"/>
                  <a:lstStyle/>
                  <a:p>
                    <a:r>
                      <a:rPr lang="en-US"/>
                      <a:t>3,05</a:t>
                    </a:r>
                    <a:r>
                      <a:rPr lang="en-US" baseline="0"/>
                      <a:t>; 19%</a:t>
                    </a:r>
                    <a:endParaRPr lang="en-US"/>
                  </a:p>
                </c:rich>
              </c:tx>
              <c:dLblPos val="outEnd"/>
              <c:showLegendKey val="0"/>
              <c:showVal val="0"/>
              <c:showCatName val="0"/>
              <c:showSerName val="0"/>
              <c:showPercent val="1"/>
              <c:showBubbleSize val="0"/>
              <c:extLst>
                <c:ext xmlns:c15="http://schemas.microsoft.com/office/drawing/2012/chart" uri="{CE6537A1-D6FC-4f65-9D91-7224C49458BB}"/>
              </c:extLst>
            </c:dLbl>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'1112 grafiki'!$B$3:$B$8</c:f>
              <c:strCache>
                <c:ptCount val="6"/>
                <c:pt idx="0">
                  <c:v>Viedie materiāli, tehnoloģijas un inženiersistēmas</c:v>
                </c:pt>
                <c:pt idx="1">
                  <c:v>Zināšanu ietilpīga bioekonomika</c:v>
                </c:pt>
                <c:pt idx="2">
                  <c:v>Biomedicīna, medicīnas tehnoloģijas, biofarmācija un biotehnoloģijas</c:v>
                </c:pt>
                <c:pt idx="3">
                  <c:v>Informācijas un komunikāciju tehnoloģijas</c:v>
                </c:pt>
                <c:pt idx="4">
                  <c:v>Viedā enerģētika</c:v>
                </c:pt>
                <c:pt idx="5">
                  <c:v>Neatbilst, bet sniedz ieguldījumu kādā no RIS3 priorit.</c:v>
                </c:pt>
              </c:strCache>
            </c:strRef>
          </c:cat>
          <c:val>
            <c:numRef>
              <c:f>'1112 grafiki'!$F$3:$F$8</c:f>
              <c:numCache>
                <c:formatCode>#,##0</c:formatCode>
                <c:ptCount val="6"/>
                <c:pt idx="0">
                  <c:v>5352240</c:v>
                </c:pt>
                <c:pt idx="1">
                  <c:v>1293124.21</c:v>
                </c:pt>
                <c:pt idx="2">
                  <c:v>4259316.88</c:v>
                </c:pt>
                <c:pt idx="3">
                  <c:v>2676119.88</c:v>
                </c:pt>
                <c:pt idx="4">
                  <c:v>1204254</c:v>
                </c:pt>
                <c:pt idx="5">
                  <c:v>3974603</c:v>
                </c:pt>
              </c:numCache>
            </c:numRef>
          </c:val>
          <c:extLst>
            <c:ext xmlns:c="http://schemas.openxmlformats.org/drawingml/2006/chart" xmlns:c16="http://schemas.microsoft.com/office/drawing/2014/chart" uri="{C3380CC4-5D6E-409C-BE32-E72D297353CC}">
              <c16:uniqueId val="{0000000C-F8C7-4DEE-B13F-967C6E50245F}"/>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6093818059977"/>
          <c:y val="0.0553555897763702"/>
          <c:w val="0.317357011224661"/>
          <c:h val="0.87461583907177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830691965031"/>
          <c:y val="0.219834128540624"/>
          <c:w val="0.685982381973245"/>
          <c:h val="0.5010986544897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1-3630-4F5B-BC44-507282BD3377}"/>
              </c:ext>
            </c:extLst>
          </c:dPt>
          <c:dPt>
            <c:idx val="1"/>
            <c:bubble3D val="0"/>
            <c:spPr>
              <a:solidFill>
                <a:schemeClr val="accent2"/>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3-3630-4F5B-BC44-507282BD3377}"/>
              </c:ext>
            </c:extLst>
          </c:dPt>
          <c:dPt>
            <c:idx val="2"/>
            <c:bubble3D val="0"/>
            <c:spPr>
              <a:solidFill>
                <a:schemeClr val="accent3"/>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5-3630-4F5B-BC44-507282BD3377}"/>
              </c:ext>
            </c:extLst>
          </c:dPt>
          <c:dPt>
            <c:idx val="3"/>
            <c:bubble3D val="0"/>
            <c:spPr>
              <a:solidFill>
                <a:schemeClr val="accent4"/>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7-3630-4F5B-BC44-507282BD3377}"/>
              </c:ext>
            </c:extLst>
          </c:dPt>
          <c:dPt>
            <c:idx val="4"/>
            <c:bubble3D val="0"/>
            <c:spPr>
              <a:solidFill>
                <a:schemeClr val="accent5"/>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9-3630-4F5B-BC44-507282BD3377}"/>
              </c:ext>
            </c:extLst>
          </c:dPt>
          <c:dLbls>
            <c:dLbl>
              <c:idx val="3"/>
              <c:layout>
                <c:manualLayout>
                  <c:x val="-0.0324074074074074"/>
                  <c:y val="0.037037037037037"/>
                </c:manualLayout>
              </c:layout>
              <c:dLblPos val="bestFit"/>
              <c:showLegendKey val="0"/>
              <c:showVal val="1"/>
              <c:showCatName val="1"/>
              <c:showSerName val="0"/>
              <c:showPercent val="1"/>
              <c:showBubbleSize val="0"/>
              <c:extLst>
                <c:ext xmlns:c="http://schemas.openxmlformats.org/drawingml/2006/chart" xmlns:c16="http://schemas.microsoft.com/office/drawing/2014/chart" uri="{C3380CC4-5D6E-409C-BE32-E72D297353CC}">
                  <c16:uniqueId val="{00000007-3630-4F5B-BC44-507282BD3377}"/>
                </c:ext>
                <c:ext xmlns:c15="http://schemas.microsoft.com/office/drawing/2012/chart" uri="{CE6537A1-D6FC-4f65-9D91-7224C49458BB}"/>
              </c:extLst>
            </c:dLbl>
            <c:dLbl>
              <c:idx val="4"/>
              <c:layout>
                <c:manualLayout>
                  <c:x val="0.0347222222222222"/>
                  <c:y val="-0.0317460317460318"/>
                </c:manualLayout>
              </c:layout>
              <c:dLblPos val="bestFit"/>
              <c:showLegendKey val="0"/>
              <c:showVal val="1"/>
              <c:showCatName val="1"/>
              <c:showSerName val="0"/>
              <c:showPercent val="1"/>
              <c:showBubbleSize val="0"/>
              <c:extLst>
                <c:ext xmlns:c="http://schemas.openxmlformats.org/drawingml/2006/chart" xmlns:c16="http://schemas.microsoft.com/office/drawing/2014/chart" uri="{C3380CC4-5D6E-409C-BE32-E72D297353CC}">
                  <c16:uniqueId val="{00000009-3630-4F5B-BC44-507282BD337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'Dati grafikiem'!$K$3:$K$7</c:f>
              <c:strCache>
                <c:ptCount val="5"/>
                <c:pt idx="0">
                  <c:v>Viedie materiāli, tehnoloģijas un inženiersistēmas</c:v>
                </c:pt>
                <c:pt idx="1">
                  <c:v>Zināšanu ietilpīga bioekonomika</c:v>
                </c:pt>
                <c:pt idx="2">
                  <c:v>Biomedicīna, medicīnas tehnoloģijas, biofarmācija un biotehnoloģijas</c:v>
                </c:pt>
                <c:pt idx="3">
                  <c:v>Informācijas un komunikāciju tehnoloģijas</c:v>
                </c:pt>
                <c:pt idx="4">
                  <c:v>Viedā enerģētika</c:v>
                </c:pt>
              </c:strCache>
            </c:strRef>
          </c:cat>
          <c:val>
            <c:numRef>
              <c:f>'Dati grafikiem'!$O$3:$O$7</c:f>
              <c:numCache>
                <c:formatCode>#,##0</c:formatCode>
                <c:ptCount val="5"/>
                <c:pt idx="0">
                  <c:v>21</c:v>
                </c:pt>
                <c:pt idx="1">
                  <c:v>8</c:v>
                </c:pt>
                <c:pt idx="2">
                  <c:v>16</c:v>
                </c:pt>
                <c:pt idx="3">
                  <c:v>5</c:v>
                </c:pt>
                <c:pt idx="4">
                  <c:v>9</c:v>
                </c:pt>
              </c:numCache>
            </c:numRef>
          </c:val>
          <c:extLst>
            <c:ext xmlns:c="http://schemas.openxmlformats.org/drawingml/2006/chart" xmlns:c16="http://schemas.microsoft.com/office/drawing/2014/chart" uri="{C3380CC4-5D6E-409C-BE32-E72D297353CC}">
              <c16:uniqueId val="{0000000A-3630-4F5B-BC44-507282BD337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5"/>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3661271738814"/>
          <c:y val="0.060281475341898"/>
          <c:w val="0.585984151352229"/>
          <c:h val="0.45942856642012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1-B7EB-45EC-A928-19094C2DCE2A}"/>
              </c:ext>
            </c:extLst>
          </c:dPt>
          <c:dPt>
            <c:idx val="1"/>
            <c:bubble3D val="0"/>
            <c:spPr>
              <a:solidFill>
                <a:schemeClr val="accent2"/>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3-B7EB-45EC-A928-19094C2DCE2A}"/>
              </c:ext>
            </c:extLst>
          </c:dPt>
          <c:dPt>
            <c:idx val="2"/>
            <c:bubble3D val="0"/>
            <c:spPr>
              <a:solidFill>
                <a:schemeClr val="accent3"/>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5-B7EB-45EC-A928-19094C2DCE2A}"/>
              </c:ext>
            </c:extLst>
          </c:dPt>
          <c:dPt>
            <c:idx val="3"/>
            <c:bubble3D val="0"/>
            <c:spPr>
              <a:solidFill>
                <a:schemeClr val="accent4"/>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7-B7EB-45EC-A928-19094C2DCE2A}"/>
              </c:ext>
            </c:extLst>
          </c:dPt>
          <c:dPt>
            <c:idx val="4"/>
            <c:bubble3D val="0"/>
            <c:spPr>
              <a:solidFill>
                <a:schemeClr val="accent5"/>
              </a:solidFill>
              <a:ln w="25400">
                <a:solidFill>
                  <a:schemeClr val="lt1"/>
                </a:solidFill>
              </a:ln>
              <a:effectLst/>
              <a:sp3d contourW="25400">
                <a:contourClr>
                  <a:schemeClr val="lt1"/>
                </a:contourClr>
              </a:sp3d>
            </c:spPr>
            <c:extLst>
              <c:ext xmlns:c="http://schemas.openxmlformats.org/drawingml/2006/chart" xmlns:c16="http://schemas.microsoft.com/office/drawing/2014/chart" uri="{C3380CC4-5D6E-409C-BE32-E72D297353CC}">
                <c16:uniqueId val="{00000009-B7EB-45EC-A928-19094C2DCE2A}"/>
              </c:ext>
            </c:extLst>
          </c:dPt>
          <c:dLbls>
            <c:dLbl>
              <c:idx val="0"/>
              <c:layout>
                <c:manualLayout>
                  <c:x val="0.135176651305684"/>
                  <c:y val="-0.0388585306618094"/>
                </c:manualLayout>
              </c:layout>
              <c:tx>
                <c:rich>
                  <a:bodyPr vertOverflow="clip"/>
                  <a:lstStyle/>
                  <a:p>
                    <a:fld id="{f16524ed-f581-4e01-93aa-dcf6ff5737de}" type="CELLRANGE">
                      <a:rPr lang="en-US" baseline="0"/>
                      <a:t>1 projekts: A/S FERRUS</a:t>
                    </a:fld>
                    <a:r>
                      <a:rPr lang="en-US" baseline="0"/>
                      <a:t>; </a:t>
                    </a:r>
                    <a:fld id="{b5035948-c0d8-493d-811e-2cc68b14c2b3}" type="VALUE">
                      <a:rPr lang="en-US" baseline="0"/>
                      <a:t>270 004</a:t>
                    </a:fld>
                    <a:endParaRPr lang="en-US" baseline="0"/>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1-B7EB-45EC-A928-19094C2DCE2A}"/>
                </c:ext>
                <c:ext xmlns:c15="http://schemas.microsoft.com/office/drawing/2012/chart" uri="{CE6537A1-D6FC-4f65-9D91-7224C49458BB}">
                  <c15:showDataLabelsRange val="1"/>
                </c:ext>
              </c:extLst>
            </c:dLbl>
            <c:dLbl>
              <c:idx val="1"/>
              <c:layout>
                <c:manualLayout>
                  <c:x val="0.14726057629893"/>
                  <c:y val="0.0266183006911205"/>
                </c:manualLayout>
              </c:layout>
              <c:tx>
                <c:rich>
                  <a:bodyPr vertOverflow="clip"/>
                  <a:lstStyle/>
                  <a:p>
                    <a:fld id="{d41466d3-0fb7-4937-912b-36f7dbf8115c}" type="CELLRANGE">
                      <a:rPr lang="en-US"/>
                      <a:t>1 projekts: SIA Field and Forest</a:t>
                    </a:fld>
                    <a:r>
                      <a:rPr lang="en-US"/>
                      <a:t>;                       </a:t>
                    </a:r>
                    <a:fld id="{80c04bf4-939c-4876-82b4-51a746bfb8e1}" type="VALUE">
                      <a:rPr lang="en-US"/>
                      <a:t>147 353</a:t>
                    </a:fld>
                    <a:endParaRPr lang="en-US"/>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3-B7EB-45EC-A928-19094C2DCE2A}"/>
                </c:ext>
                <c:ext xmlns:c15="http://schemas.microsoft.com/office/drawing/2012/chart" uri="{CE6537A1-D6FC-4f65-9D91-7224C49458BB}">
                  <c15:showDataLabelsRange val="1"/>
                </c:ext>
              </c:extLst>
            </c:dLbl>
            <c:dLbl>
              <c:idx val="2"/>
              <c:layout>
                <c:manualLayout>
                  <c:x val="-0.0258064516129032"/>
                  <c:y val="0.0508167065972546"/>
                </c:manualLayout>
              </c:layout>
              <c:tx>
                <c:rich>
                  <a:bodyPr vertOverflow="clip"/>
                  <a:lstStyle/>
                  <a:p>
                    <a:fld id="{fd36b489-bca2-46f7-aaf3-6c9594d52903}" type="CELLRANGE">
                      <a:rPr lang="en-US" baseline="0"/>
                      <a:t>1 projekts: A/S Grindeks</a:t>
                    </a:fld>
                    <a:r>
                      <a:rPr lang="en-US" baseline="0"/>
                      <a:t>; </a:t>
                    </a:r>
                    <a:fld id="{6929f8eb-6b31-42fe-a338-c031c17dd457}" type="VALUE">
                      <a:rPr lang="en-US" baseline="0"/>
                      <a:t>76 707</a:t>
                    </a:fld>
                    <a:endParaRPr lang="en-US" baseline="0"/>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5-B7EB-45EC-A928-19094C2DCE2A}"/>
                </c:ext>
                <c:ext xmlns:c15="http://schemas.microsoft.com/office/drawing/2012/chart" uri="{CE6537A1-D6FC-4f65-9D91-7224C49458BB}">
                  <c15:showDataLabelsRange val="1"/>
                </c:ext>
              </c:extLst>
            </c:dLbl>
            <c:dLbl>
              <c:idx val="3"/>
              <c:layout>
                <c:manualLayout>
                  <c:x val="-0.0925167328618773"/>
                  <c:y val="0.0122358021400421"/>
                </c:manualLayout>
              </c:layout>
              <c:tx>
                <c:rich>
                  <a:bodyPr vertOverflow="clip"/>
                  <a:lstStyle/>
                  <a:p>
                    <a:fld id="{2c8b34dd-1f18-48ec-b374-89c0cd911452}" type="CELLRANGE">
                      <a:rPr lang="en-US"/>
                      <a:t>2 projekti : 
SIA Tilde
SIA Baltijas Datoru Akadēmija</a:t>
                    </a:fld>
                    <a:r>
                      <a:rPr lang="en-US"/>
                      <a:t>; kopā: </a:t>
                    </a:r>
                    <a:fld id="{c60491ae-0ec4-407e-8d75-062a3848194f}" type="VALUE">
                      <a:rPr lang="en-US"/>
                      <a:t>478 228</a:t>
                    </a:fld>
                    <a:endParaRPr lang="en-US"/>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7-B7EB-45EC-A928-19094C2DCE2A}"/>
                </c:ext>
                <c:ext xmlns:c15="http://schemas.microsoft.com/office/drawing/2012/chart" uri="{CE6537A1-D6FC-4f65-9D91-7224C49458BB}">
                  <c15:showDataLabelsRange val="1"/>
                </c:ext>
              </c:extLst>
            </c:dLbl>
            <c:dLbl>
              <c:idx val="4"/>
              <c:layout>
                <c:manualLayout>
                  <c:x val="0.110698105756418"/>
                  <c:y val="-0.0302789041575787"/>
                </c:manualLayout>
              </c:layout>
              <c:tx>
                <c:rich>
                  <a:bodyPr vertOverflow="clip"/>
                  <a:lstStyle/>
                  <a:p>
                    <a:fld id="{144b7f4c-d84e-494b-b182-42aaeb9124c7}" type="CELLRANGE">
                      <a:rPr lang="en-US"/>
                      <a:t>1 projekts: SIA ENERGOSERT</a:t>
                    </a:fld>
                    <a:r>
                      <a:rPr lang="en-US"/>
                      <a:t>;             </a:t>
                    </a:r>
                    <a:fld id="{6b165585-ac29-43bf-8bce-4643e25366e5}" type="VALUE">
                      <a:rPr lang="en-US"/>
                      <a:t>241 836</a:t>
                    </a:fld>
                    <a:endParaRPr lang="en-US"/>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9-B7EB-45EC-A928-19094C2DCE2A}"/>
                </c:ext>
                <c:ext xmlns:c15="http://schemas.microsoft.com/office/drawing/2012/chart" uri="{CE6537A1-D6FC-4f65-9D91-7224C49458BB}">
                  <c15:showDataLabelsRange val="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DataLabelsRange val="1"/>
              </c:ext>
            </c:extLst>
          </c:dLbls>
          <c:cat>
            <c:strRef>
              <c:f>'Dati grafikiem'!$K$3:$K$7</c:f>
              <c:strCache>
                <c:ptCount val="5"/>
                <c:pt idx="0">
                  <c:v>Viedie materiāli, tehnoloģijas un inženiersistēmas</c:v>
                </c:pt>
                <c:pt idx="1">
                  <c:v>Zināšanu ietilpīga bioekonomika</c:v>
                </c:pt>
                <c:pt idx="2">
                  <c:v>Biomedicīna, medicīnas tehnoloģijas, biofarmācija un biotehnoloģijas</c:v>
                </c:pt>
                <c:pt idx="3">
                  <c:v>Informācijas un komunikāciju tehnoloģijas</c:v>
                </c:pt>
                <c:pt idx="4">
                  <c:v>Viedā enerģētika</c:v>
                </c:pt>
              </c:strCache>
            </c:strRef>
          </c:cat>
          <c:val>
            <c:numRef>
              <c:f>'Dati grafikiem'!$L$14:$L$18</c:f>
              <c:numCache>
                <c:formatCode>_("€"* #,##0.00_);_("€"* \(#,##0.00\);_("€"* "-"??_);_(@_)</c:formatCode>
                <c:ptCount val="5"/>
                <c:pt idx="0">
                  <c:v>270003.67</c:v>
                </c:pt>
                <c:pt idx="1">
                  <c:v>147353.19</c:v>
                </c:pt>
                <c:pt idx="2">
                  <c:v>76707.4</c:v>
                </c:pt>
                <c:pt idx="3">
                  <c:v>478228.43999999994</c:v>
                </c:pt>
                <c:pt idx="4">
                  <c:v>241835.68</c:v>
                </c:pt>
              </c:numCache>
            </c:numRef>
          </c:val>
          <c:extLst>
            <c:ext xmlns:c="http://schemas.openxmlformats.org/drawingml/2006/chart" xmlns:c16="http://schemas.microsoft.com/office/drawing/2014/chart" uri="{C3380CC4-5D6E-409C-BE32-E72D297353CC}">
              <c16:uniqueId val="{0000000A-B7EB-45EC-A928-19094C2DCE2A}"/>
            </c:ext>
            <c:ext xmlns:c15="http://schemas.microsoft.com/office/drawing/2012/chart" uri="{02D57815-91ED-43cb-92C2-25804820EDAC}">
              <c15:datalabelsRange>
                <c15:f>'Dati grafikiem'!$K$14:$K$18</c15:f>
                <c15:dlblRangeCache>
                  <c:ptCount val="5"/>
                  <c:pt idx="0">
                    <c:v>1 projekts: A/S FERRUS</c:v>
                  </c:pt>
                  <c:pt idx="1">
                    <c:v>1 projekts: SIA Field and Forest</c:v>
                  </c:pt>
                  <c:pt idx="2">
                    <c:v>1 projekts: A/S Grindeks</c:v>
                  </c:pt>
                  <c:pt idx="3">
                    <c:v>2 projekti : 
SIA Tilde
SIA Baltijas Datoru Akadēmija</c:v>
                  </c:pt>
                  <c:pt idx="4">
                    <c:v>1 projekts: SIA ENERGOSERT</c:v>
                  </c:pt>
                </c15:dlblRangeCache>
              </c15:datalabelsRange>
            </c:ext>
          </c:extLst>
        </c:ser>
        <c:dLbls>
          <c:showLegendKey val="0"/>
          <c:showVal val="0"/>
          <c:showCatName val="0"/>
          <c:showSerName val="0"/>
          <c:showPercent val="1"/>
          <c:showBubbleSize val="0"/>
          <c:showLeaderLines val="0"/>
        </c:dLbls>
      </c:pie3DChart>
      <c:spPr>
        <a:noFill/>
        <a:ln>
          <a:noFill/>
        </a:ln>
        <a:effectLst/>
      </c:spPr>
    </c:plotArea>
    <c:legend>
      <c:legendPos val="b"/>
      <c:layout>
        <c:manualLayout>
          <c:xMode val="edge"/>
          <c:yMode val="edge"/>
          <c:x val="0.174191698148601"/>
          <c:y val="0.741550140584993"/>
          <c:w val="0.647390344035839"/>
          <c:h val="0.2566879752915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F3062-92F0-4971-8203-F84D0765DF6F}" type="doc">
      <dgm:prSet loTypeId="urn:microsoft.com/office/officeart/2005/8/layout/process4" loCatId="process" qsTypeId="urn:microsoft.com/office/officeart/2005/8/quickstyle/3d3" qsCatId="3D" csTypeId="urn:microsoft.com/office/officeart/2005/8/colors/colorful2" csCatId="colorful" phldr="1"/>
      <dgm:spPr/>
      <dgm:t>
        <a:bodyPr/>
        <a:lstStyle/>
        <a:p>
          <a:endParaRPr lang="lv-LV"/>
        </a:p>
      </dgm:t>
    </dgm:pt>
    <dgm:pt modelId="{ACCC17FB-4597-45B9-9E38-BC16C4262191}">
      <dgm:prSet phldrT="[Text]" custT="1"/>
      <dgm:spPr/>
      <dgm:t>
        <a:bodyPr/>
        <a:lstStyle/>
        <a:p>
          <a:pPr algn="ctr"/>
          <a:r>
            <a:rPr lang="lv-LV" sz="1200">
              <a:latin typeface="Times New Roman" panose="02020603050405020304" pitchFamily="18" charset="0"/>
              <a:cs typeface="Times New Roman" panose="02020603050405020304" pitchFamily="18" charset="0"/>
            </a:rPr>
            <a:t>Jaunu pētnieku skaits atbalstītajās vienībās</a:t>
          </a:r>
        </a:p>
      </dgm:t>
    </dgm:pt>
    <dgm:pt modelId="{EC0DE473-BB25-4451-B0CF-C4862EF67C57}" type="parTrans" cxnId="{798DCDBD-A995-4150-AEA9-5C86D039DECC}">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F57CD611-CB28-4D20-AC4C-CFBF5D366618}" type="sibTrans" cxnId="{798DCDBD-A995-4150-AEA9-5C86D039DECC}">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1232910A-E4CF-40D6-B0D6-FE407DC31F03}">
      <dgm:prSet phldrT="[Text]" custT="1"/>
      <dgm:spPr/>
      <dgm:t>
        <a:bodyPr/>
        <a:lstStyle/>
        <a:p>
          <a:pPr algn="ctr"/>
          <a:r>
            <a:rPr lang="lv-LV" sz="1200">
              <a:latin typeface="Times New Roman" panose="02020603050405020304" pitchFamily="18" charset="0"/>
              <a:cs typeface="Times New Roman" panose="02020603050405020304" pitchFamily="18" charset="0"/>
            </a:rPr>
            <a:t>Privātās investīcijas P&amp;A</a:t>
          </a:r>
        </a:p>
      </dgm:t>
    </dgm:pt>
    <dgm:pt modelId="{3DD38142-3187-488E-BFAD-874A2D617631}" type="parTrans" cxnId="{902DE8EA-A2F3-4EFD-A42E-F1EBE587701A}">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14D7CC17-D73E-42EC-BA76-D8F75A3AC6FE}" type="sibTrans" cxnId="{902DE8EA-A2F3-4EFD-A42E-F1EBE587701A}">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7C92E5DC-2FD3-45BE-BE44-349FBDB3F8C2}">
      <dgm:prSet phldrT="[Text]" custT="1"/>
      <dgm:spPr/>
      <dgm:t>
        <a:bodyPr/>
        <a:lstStyle/>
        <a:p>
          <a:pPr algn="ctr"/>
          <a:r>
            <a:rPr lang="lv-LV" sz="1200">
              <a:latin typeface="Times New Roman" panose="02020603050405020304" pitchFamily="18" charset="0"/>
              <a:cs typeface="Times New Roman" panose="02020603050405020304" pitchFamily="18" charset="0"/>
            </a:rPr>
            <a:t>RIS3 mikro līmeņa rādītāji, t.sk.:</a:t>
          </a:r>
        </a:p>
      </dgm:t>
    </dgm:pt>
    <dgm:pt modelId="{7A0C0A51-0D82-4C3C-AEC7-CBF5EE5DBE11}" type="parTrans" cxnId="{6BB6959E-8F1C-474F-90B4-175EC45ABE9A}">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E67083F0-EA94-4F67-B702-F0A015A2D29D}" type="sibTrans" cxnId="{6BB6959E-8F1C-474F-90B4-175EC45ABE9A}">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C2D62937-C97B-4B57-80B2-0307B831B9DF}">
      <dgm:prSet phldrT="[Text]" custT="1"/>
      <dgm:spPr/>
      <dgm:t>
        <a:bodyPr/>
        <a:lstStyle/>
        <a:p>
          <a:pPr algn="ctr"/>
          <a:r>
            <a:rPr lang="lv-LV" sz="950">
              <a:latin typeface="Times New Roman" panose="02020603050405020304" pitchFamily="18" charset="0"/>
              <a:cs typeface="Times New Roman" panose="02020603050405020304" pitchFamily="18" charset="0"/>
            </a:rPr>
            <a:t>Jaunradītās darba vietas, t.sk. zinātniskiem darbiniekiem</a:t>
          </a:r>
        </a:p>
      </dgm:t>
    </dgm:pt>
    <dgm:pt modelId="{8BDA14C3-51CA-44DC-B6B5-ABFC9154D2CD}" type="parTrans" cxnId="{439808FD-9225-435F-B097-B744F8F70466}">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CD823DBE-01EB-41A1-B040-1063B1BB95CA}" type="sibTrans" cxnId="{439808FD-9225-435F-B097-B744F8F70466}">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BC24D46B-2DE0-4EA2-8C6A-BA6AA4B5E42F}">
      <dgm:prSet phldrT="[Text]" custT="1"/>
      <dgm:spPr/>
      <dgm:t>
        <a:bodyPr/>
        <a:lstStyle/>
        <a:p>
          <a:pPr algn="ctr"/>
          <a:r>
            <a:rPr lang="lv-LV" sz="1200">
              <a:latin typeface="Times New Roman" panose="02020603050405020304" pitchFamily="18" charset="0"/>
              <a:cs typeface="Times New Roman" panose="02020603050405020304" pitchFamily="18" charset="0"/>
            </a:rPr>
            <a:t>Uzņēmumu līdzfinansējums P&amp;A </a:t>
          </a:r>
        </a:p>
      </dgm:t>
    </dgm:pt>
    <dgm:pt modelId="{562BF77D-9B09-46B5-BC7D-7E77754FFAF3}" type="parTrans" cxnId="{E506C81D-3AD2-4D5B-A0C5-3F6965050AA4}">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F894F84D-94D6-4585-9884-5C3351D9AA48}" type="sibTrans" cxnId="{E506C81D-3AD2-4D5B-A0C5-3F6965050AA4}">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2C3BD77A-45BF-41C3-819E-CC3E034F20CE}">
      <dgm:prSet phldrT="[Text]" custT="1"/>
      <dgm:spPr/>
      <dgm:t>
        <a:bodyPr/>
        <a:lstStyle/>
        <a:p>
          <a:pPr algn="ctr"/>
          <a:r>
            <a:rPr lang="lv-LV" sz="1200">
              <a:latin typeface="Times New Roman" panose="02020603050405020304" pitchFamily="18" charset="0"/>
              <a:cs typeface="Times New Roman" panose="02020603050405020304" pitchFamily="18" charset="0"/>
            </a:rPr>
            <a:t>RIS3 mērķa sasniegšanas rādītāji, t.sk.:</a:t>
          </a:r>
        </a:p>
      </dgm:t>
    </dgm:pt>
    <dgm:pt modelId="{6C9D61F9-4BB6-4E6A-8C2C-695F5DF7AE29}" type="parTrans" cxnId="{97D0B15C-A2C0-4D9F-9AAE-00E10E9DDDD6}">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B28CB605-DAFD-4947-AA2D-AD253E7C3A69}" type="sibTrans" cxnId="{97D0B15C-A2C0-4D9F-9AAE-00E10E9DDDD6}">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7A8E85CF-C8CC-46BF-9556-64FA730B550B}">
      <dgm:prSet phldrT="[Text]" custT="1"/>
      <dgm:spPr/>
      <dgm:t>
        <a:bodyPr/>
        <a:lstStyle/>
        <a:p>
          <a:pPr algn="ctr"/>
          <a:r>
            <a:rPr lang="lv-LV" sz="1200">
              <a:latin typeface="Times New Roman" panose="02020603050405020304" pitchFamily="18" charset="0"/>
              <a:cs typeface="Times New Roman" panose="02020603050405020304" pitchFamily="18" charset="0"/>
            </a:rPr>
            <a:t>Zinātnisko darbinieku skaits P&amp;A</a:t>
          </a:r>
        </a:p>
      </dgm:t>
    </dgm:pt>
    <dgm:pt modelId="{A24A05CD-A07A-483B-978C-C0C711CC5AAD}" type="parTrans" cxnId="{6A58D6CE-2A1E-4A41-AA9A-2E3593854379}">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C1AD3306-047E-42BB-9EAA-19066D848467}" type="sibTrans" cxnId="{6A58D6CE-2A1E-4A41-AA9A-2E3593854379}">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06B946BC-8264-47D1-832F-39F60C4B143D}">
      <dgm:prSet phldrT="[Text]" custT="1"/>
      <dgm:spPr/>
      <dgm:t>
        <a:bodyPr/>
        <a:lstStyle/>
        <a:p>
          <a:pPr algn="ctr"/>
          <a:r>
            <a:rPr lang="lv-LV" sz="1200">
              <a:latin typeface="Times New Roman" panose="02020603050405020304" pitchFamily="18" charset="0"/>
              <a:cs typeface="Times New Roman" panose="02020603050405020304" pitchFamily="18" charset="0"/>
            </a:rPr>
            <a:t>Kopējie ieguldījumi P&amp;A 1.5% no IKP</a:t>
          </a:r>
        </a:p>
      </dgm:t>
    </dgm:pt>
    <dgm:pt modelId="{7A1031E3-1AE7-4396-A2D8-D1D42A3E476A}" type="parTrans" cxnId="{93333835-59C6-4FAA-B838-735258CC8602}">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76D77C3E-C25F-428D-9D97-5849EF6C1C12}" type="sibTrans" cxnId="{93333835-59C6-4FAA-B838-735258CC8602}">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00045865-475D-4C9C-9E35-87EEE06673FA}">
      <dgm:prSet phldrT="[Text]" custT="1"/>
      <dgm:spPr/>
      <dgm:t>
        <a:bodyPr/>
        <a:lstStyle/>
        <a:p>
          <a:pPr algn="ctr">
            <a:lnSpc>
              <a:spcPct val="100000"/>
            </a:lnSpc>
          </a:pPr>
          <a:r>
            <a:rPr lang="lv-LV" sz="1200">
              <a:latin typeface="Times New Roman" panose="02020603050405020304" pitchFamily="18" charset="0"/>
              <a:cs typeface="Times New Roman" panose="02020603050405020304" pitchFamily="18" charset="0"/>
            </a:rPr>
            <a:t>Inovatīva ekonomika: Izveidota inovāciju sistēma; t</a:t>
          </a:r>
          <a:r>
            <a:rPr lang="lv-LV" sz="1200" b="0">
              <a:latin typeface="Times New Roman" panose="02020603050405020304" pitchFamily="18" charset="0"/>
              <a:cs typeface="Times New Roman" panose="02020603050405020304" pitchFamily="18" charset="0"/>
            </a:rPr>
            <a:t>ransformēta tautsaimniecība:</a:t>
          </a:r>
          <a:endParaRPr lang="lv-LV" sz="1200">
            <a:latin typeface="Times New Roman" panose="02020603050405020304" pitchFamily="18" charset="0"/>
            <a:cs typeface="Times New Roman" panose="02020603050405020304" pitchFamily="18" charset="0"/>
          </a:endParaRPr>
        </a:p>
      </dgm:t>
    </dgm:pt>
    <dgm:pt modelId="{AD64E811-3DE7-44F3-A204-133735DD2241}" type="parTrans" cxnId="{990AF608-2766-4B2C-BF93-17F85B4B5CF0}">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B88793F6-968B-4583-841C-D6BEEEABC87D}" type="sibTrans" cxnId="{990AF608-2766-4B2C-BF93-17F85B4B5CF0}">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E205DCAA-A37C-4835-AF8D-45E8AAA01EAA}">
      <dgm:prSet phldrT="[Text]" custT="1"/>
      <dgm:spPr/>
      <dgm:t>
        <a:bodyPr/>
        <a:lstStyle/>
        <a:p>
          <a:pPr algn="ctr">
            <a:lnSpc>
              <a:spcPct val="90000"/>
            </a:lnSpc>
            <a:spcAft>
              <a:spcPct val="35000"/>
            </a:spcAft>
          </a:pPr>
          <a:r>
            <a:rPr lang="lv-LV" sz="1200" b="0">
              <a:latin typeface="Times New Roman" panose="02020603050405020304" pitchFamily="18" charset="0"/>
              <a:cs typeface="Times New Roman" panose="02020603050405020304" pitchFamily="18" charset="0"/>
            </a:rPr>
            <a:t>augsta produktivitāte un resursu izmantošanas efektivitāte</a:t>
          </a:r>
          <a:endParaRPr lang="lv-LV" sz="1200">
            <a:latin typeface="Times New Roman" panose="02020603050405020304" pitchFamily="18" charset="0"/>
            <a:cs typeface="Times New Roman" panose="02020603050405020304" pitchFamily="18" charset="0"/>
          </a:endParaRPr>
        </a:p>
      </dgm:t>
    </dgm:pt>
    <dgm:pt modelId="{35E1D69C-400F-47D7-9F76-CF29F67B97D7}" type="parTrans" cxnId="{3F0045ED-7AE1-4425-8440-DC3DBA4733DA}">
      <dgm:prSet/>
      <dgm:spPr/>
      <dgm:t>
        <a:bodyPr/>
        <a:lstStyle/>
        <a:p>
          <a:pPr algn="ctr"/>
          <a:endParaRPr lang="lv-LV"/>
        </a:p>
      </dgm:t>
    </dgm:pt>
    <dgm:pt modelId="{CA414ABF-6AC9-4355-BCAC-A9237336FA42}" type="sibTrans" cxnId="{3F0045ED-7AE1-4425-8440-DC3DBA4733DA}">
      <dgm:prSet/>
      <dgm:spPr/>
      <dgm:t>
        <a:bodyPr/>
        <a:lstStyle/>
        <a:p>
          <a:pPr algn="ctr"/>
          <a:endParaRPr lang="lv-LV"/>
        </a:p>
      </dgm:t>
    </dgm:pt>
    <dgm:pt modelId="{465C80AE-B2AF-4099-A88B-D33D1355E012}">
      <dgm:prSet phldrT="[Text]" custT="1"/>
      <dgm:spPr/>
      <dgm:t>
        <a:bodyPr/>
        <a:lstStyle/>
        <a:p>
          <a:pPr algn="ctr"/>
          <a:r>
            <a:rPr lang="lv-LV" sz="1200">
              <a:latin typeface="Times New Roman" panose="02020603050405020304" pitchFamily="18" charset="0"/>
              <a:cs typeface="Times New Roman" panose="02020603050405020304" pitchFamily="18" charset="0"/>
            </a:rPr>
            <a:t>SAM 1.1.1. pasākumu iznākuma rādītāji:</a:t>
          </a:r>
        </a:p>
      </dgm:t>
    </dgm:pt>
    <dgm:pt modelId="{EC429FC6-5E76-492C-A634-80E7D78046DC}" type="sibTrans" cxnId="{C6F70A15-C59F-463B-B1EE-BFBDB9214183}">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9D8E5DEB-B73C-420C-828C-11A772D3983F}" type="parTrans" cxnId="{C6F70A15-C59F-463B-B1EE-BFBDB9214183}">
      <dgm:prSet/>
      <dgm:spPr/>
      <dgm:t>
        <a:bodyPr/>
        <a:lstStyle/>
        <a:p>
          <a:pPr algn="ctr"/>
          <a:endParaRPr lang="lv-LV" sz="1200">
            <a:latin typeface="Times New Roman" panose="02020603050405020304" pitchFamily="18" charset="0"/>
            <a:cs typeface="Times New Roman" panose="02020603050405020304" pitchFamily="18" charset="0"/>
          </a:endParaRPr>
        </a:p>
      </dgm:t>
    </dgm:pt>
    <dgm:pt modelId="{71C8BE48-3146-40B9-BA96-E0B7AD4223BE}" type="pres">
      <dgm:prSet presAssocID="{C0AF3062-92F0-4971-8203-F84D0765DF6F}" presName="Name0" presStyleCnt="0">
        <dgm:presLayoutVars>
          <dgm:dir val="norm"/>
          <dgm:animLvl val="lvl"/>
          <dgm:resizeHandles val="exact"/>
        </dgm:presLayoutVars>
      </dgm:prSet>
      <dgm:spPr/>
      <dgm:t>
        <a:bodyPr/>
        <a:lstStyle/>
        <a:p>
          <a:endParaRPr lang="lv-LV"/>
        </a:p>
      </dgm:t>
    </dgm:pt>
    <dgm:pt modelId="{48DF4FF7-2CCF-4BAB-9AB5-4F907FEDE8BA}" type="pres">
      <dgm:prSet presAssocID="{00045865-475D-4C9C-9E35-87EEE06673FA}" presName="boxAndChildren" presStyleCnt="0"/>
      <dgm:spPr/>
      <dgm:t>
        <a:bodyPr/>
        <a:lstStyle/>
        <a:p>
          <a:endParaRPr lang="lv-LV"/>
        </a:p>
      </dgm:t>
    </dgm:pt>
    <dgm:pt modelId="{2BEB5F3E-B0D1-4007-A524-F208CF09940F}" type="pres">
      <dgm:prSet presAssocID="{00045865-475D-4C9C-9E35-87EEE06673FA}" presName="parentTextBox" presStyleLbl="node1" presStyleIdx="0" presStyleCnt="4"/>
      <dgm:spPr/>
      <dgm:t>
        <a:bodyPr/>
        <a:lstStyle/>
        <a:p>
          <a:endParaRPr lang="lv-LV"/>
        </a:p>
      </dgm:t>
    </dgm:pt>
    <dgm:pt modelId="{BD959735-CAE3-4104-BD8B-839A58975484}" type="pres">
      <dgm:prSet presAssocID="{00045865-475D-4C9C-9E35-87EEE06673FA}" presName="entireBox" presStyleLbl="node1" presStyleIdx="0" presStyleCnt="4"/>
      <dgm:spPr/>
      <dgm:t>
        <a:bodyPr/>
        <a:lstStyle/>
        <a:p>
          <a:endParaRPr lang="lv-LV"/>
        </a:p>
      </dgm:t>
    </dgm:pt>
    <dgm:pt modelId="{7483FE0E-370D-40BA-94E8-C07408E83840}" type="pres">
      <dgm:prSet presAssocID="{00045865-475D-4C9C-9E35-87EEE06673FA}" presName="descendantBox" presStyleCnt="0"/>
      <dgm:spPr/>
      <dgm:t>
        <a:bodyPr/>
        <a:lstStyle/>
        <a:p>
          <a:endParaRPr lang="lv-LV"/>
        </a:p>
      </dgm:t>
    </dgm:pt>
    <dgm:pt modelId="{D6170BDA-DB9B-490F-A624-39789F89DD64}" type="pres">
      <dgm:prSet presAssocID="{E205DCAA-A37C-4835-AF8D-45E8AAA01EAA}" presName="childTextBox" presStyleLbl="fgAccFollowNode1" presStyleIdx="0" presStyleCnt="7">
        <dgm:presLayoutVars>
          <dgm:bulletEnabled val="1"/>
        </dgm:presLayoutVars>
      </dgm:prSet>
      <dgm:spPr/>
      <dgm:t>
        <a:bodyPr/>
        <a:lstStyle/>
        <a:p>
          <a:endParaRPr lang="lv-LV"/>
        </a:p>
      </dgm:t>
    </dgm:pt>
    <dgm:pt modelId="{F81A4AEC-7A01-43B1-818E-45DA9231A076}" type="pres">
      <dgm:prSet presAssocID="{B28CB605-DAFD-4947-AA2D-AD253E7C3A69}" presName="sp" presStyleCnt="0"/>
      <dgm:spPr/>
      <dgm:t>
        <a:bodyPr/>
        <a:lstStyle/>
        <a:p>
          <a:endParaRPr lang="lv-LV"/>
        </a:p>
      </dgm:t>
    </dgm:pt>
    <dgm:pt modelId="{F543B288-3AB1-42F3-B2EB-C27144847B98}" type="pres">
      <dgm:prSet presAssocID="{2C3BD77A-45BF-41C3-819E-CC3E034F20CE}" presName="arrowAndChildren" presStyleCnt="0"/>
      <dgm:spPr/>
      <dgm:t>
        <a:bodyPr/>
        <a:lstStyle/>
        <a:p>
          <a:endParaRPr lang="lv-LV"/>
        </a:p>
      </dgm:t>
    </dgm:pt>
    <dgm:pt modelId="{3C89D371-5061-42E2-9F40-2E61FB377757}" type="pres">
      <dgm:prSet presAssocID="{2C3BD77A-45BF-41C3-819E-CC3E034F20CE}" presName="parentTextArrow" presStyleLbl="node1" presStyleIdx="0" presStyleCnt="4"/>
      <dgm:spPr/>
      <dgm:t>
        <a:bodyPr/>
        <a:lstStyle/>
        <a:p>
          <a:endParaRPr lang="lv-LV"/>
        </a:p>
      </dgm:t>
    </dgm:pt>
    <dgm:pt modelId="{3C2F619E-73C1-44A1-9A20-FE110D5398B1}" type="pres">
      <dgm:prSet presAssocID="{2C3BD77A-45BF-41C3-819E-CC3E034F20CE}" presName="arrow" presStyleLbl="node1" presStyleIdx="1" presStyleCnt="4"/>
      <dgm:spPr/>
      <dgm:t>
        <a:bodyPr/>
        <a:lstStyle/>
        <a:p>
          <a:endParaRPr lang="lv-LV"/>
        </a:p>
      </dgm:t>
    </dgm:pt>
    <dgm:pt modelId="{9F24CE91-ED3D-4364-8CEC-B1A3754C1C66}" type="pres">
      <dgm:prSet presAssocID="{2C3BD77A-45BF-41C3-819E-CC3E034F20CE}" presName="descendantArrow" presStyleCnt="0"/>
      <dgm:spPr/>
      <dgm:t>
        <a:bodyPr/>
        <a:lstStyle/>
        <a:p>
          <a:endParaRPr lang="lv-LV"/>
        </a:p>
      </dgm:t>
    </dgm:pt>
    <dgm:pt modelId="{700B21CD-AA24-41E7-898C-DCCCBCC680EF}" type="pres">
      <dgm:prSet presAssocID="{7A8E85CF-C8CC-46BF-9556-64FA730B550B}" presName="childTextArrow" presStyleLbl="fgAccFollowNode1" presStyleIdx="1" presStyleCnt="7">
        <dgm:presLayoutVars>
          <dgm:bulletEnabled val="1"/>
        </dgm:presLayoutVars>
      </dgm:prSet>
      <dgm:spPr/>
      <dgm:t>
        <a:bodyPr/>
        <a:lstStyle/>
        <a:p>
          <a:endParaRPr lang="lv-LV"/>
        </a:p>
      </dgm:t>
    </dgm:pt>
    <dgm:pt modelId="{8DE892B8-B3F5-4C67-A5C9-678C6BD05799}" type="pres">
      <dgm:prSet presAssocID="{06B946BC-8264-47D1-832F-39F60C4B143D}" presName="childTextArrow" presStyleLbl="fgAccFollowNode1" presStyleIdx="2" presStyleCnt="7">
        <dgm:presLayoutVars>
          <dgm:bulletEnabled val="1"/>
        </dgm:presLayoutVars>
      </dgm:prSet>
      <dgm:spPr/>
      <dgm:t>
        <a:bodyPr/>
        <a:lstStyle/>
        <a:p>
          <a:endParaRPr lang="lv-LV"/>
        </a:p>
      </dgm:t>
    </dgm:pt>
    <dgm:pt modelId="{CA44163B-57E2-4A9B-9018-83C57657568C}" type="pres">
      <dgm:prSet presAssocID="{E67083F0-EA94-4F67-B702-F0A015A2D29D}" presName="sp" presStyleCnt="0"/>
      <dgm:spPr/>
      <dgm:t>
        <a:bodyPr/>
        <a:lstStyle/>
        <a:p>
          <a:endParaRPr lang="lv-LV"/>
        </a:p>
      </dgm:t>
    </dgm:pt>
    <dgm:pt modelId="{52109B35-F31F-4ACA-BB9C-7798D8B348BF}" type="pres">
      <dgm:prSet presAssocID="{7C92E5DC-2FD3-45BE-BE44-349FBDB3F8C2}" presName="arrowAndChildren" presStyleCnt="0"/>
      <dgm:spPr/>
      <dgm:t>
        <a:bodyPr/>
        <a:lstStyle/>
        <a:p>
          <a:endParaRPr lang="lv-LV"/>
        </a:p>
      </dgm:t>
    </dgm:pt>
    <dgm:pt modelId="{30D29567-C166-4E99-AD95-370ED643EE90}" type="pres">
      <dgm:prSet presAssocID="{7C92E5DC-2FD3-45BE-BE44-349FBDB3F8C2}" presName="parentTextArrow" presStyleLbl="node1" presStyleIdx="1" presStyleCnt="4"/>
      <dgm:spPr/>
      <dgm:t>
        <a:bodyPr/>
        <a:lstStyle/>
        <a:p>
          <a:endParaRPr lang="lv-LV"/>
        </a:p>
      </dgm:t>
    </dgm:pt>
    <dgm:pt modelId="{73543F7E-D00D-47AE-BF34-1A4B8CCE6AB3}" type="pres">
      <dgm:prSet presAssocID="{7C92E5DC-2FD3-45BE-BE44-349FBDB3F8C2}" presName="arrow" presStyleLbl="node1" presStyleIdx="2" presStyleCnt="4" custAng="0"/>
      <dgm:spPr/>
      <dgm:t>
        <a:bodyPr/>
        <a:lstStyle/>
        <a:p>
          <a:endParaRPr lang="lv-LV"/>
        </a:p>
      </dgm:t>
    </dgm:pt>
    <dgm:pt modelId="{A182197A-A5E4-49A9-A067-514B3798B9DF}" type="pres">
      <dgm:prSet presAssocID="{7C92E5DC-2FD3-45BE-BE44-349FBDB3F8C2}" presName="descendantArrow" presStyleCnt="0"/>
      <dgm:spPr/>
      <dgm:t>
        <a:bodyPr/>
        <a:lstStyle/>
        <a:p>
          <a:endParaRPr lang="lv-LV"/>
        </a:p>
      </dgm:t>
    </dgm:pt>
    <dgm:pt modelId="{F4AFE10E-22E6-4A21-89A7-B83F66280738}" type="pres">
      <dgm:prSet presAssocID="{C2D62937-C97B-4B57-80B2-0307B831B9DF}" presName="childTextArrow" presStyleLbl="fgAccFollowNode1" presStyleIdx="3" presStyleCnt="7">
        <dgm:presLayoutVars>
          <dgm:bulletEnabled val="1"/>
        </dgm:presLayoutVars>
      </dgm:prSet>
      <dgm:spPr/>
      <dgm:t>
        <a:bodyPr/>
        <a:lstStyle/>
        <a:p>
          <a:endParaRPr lang="lv-LV"/>
        </a:p>
      </dgm:t>
    </dgm:pt>
    <dgm:pt modelId="{A335386E-F694-4462-94CB-7BA9E5D71492}" type="pres">
      <dgm:prSet presAssocID="{BC24D46B-2DE0-4EA2-8C6A-BA6AA4B5E42F}" presName="childTextArrow" presStyleLbl="fgAccFollowNode1" presStyleIdx="4" presStyleCnt="7">
        <dgm:presLayoutVars>
          <dgm:bulletEnabled val="1"/>
        </dgm:presLayoutVars>
      </dgm:prSet>
      <dgm:spPr/>
      <dgm:t>
        <a:bodyPr/>
        <a:lstStyle/>
        <a:p>
          <a:endParaRPr lang="lv-LV"/>
        </a:p>
      </dgm:t>
    </dgm:pt>
    <dgm:pt modelId="{C87E2BD3-8DCA-4513-97F1-B63D8557781C}" type="pres">
      <dgm:prSet presAssocID="{EC429FC6-5E76-492C-A634-80E7D78046DC}" presName="sp" presStyleCnt="0"/>
      <dgm:spPr/>
      <dgm:t>
        <a:bodyPr/>
        <a:lstStyle/>
        <a:p>
          <a:endParaRPr lang="lv-LV"/>
        </a:p>
      </dgm:t>
    </dgm:pt>
    <dgm:pt modelId="{63F793A4-DC8E-4B6D-8686-C623F1081DCF}" type="pres">
      <dgm:prSet presAssocID="{465C80AE-B2AF-4099-A88B-D33D1355E012}" presName="arrowAndChildren" presStyleCnt="0"/>
      <dgm:spPr/>
      <dgm:t>
        <a:bodyPr/>
        <a:lstStyle/>
        <a:p>
          <a:endParaRPr lang="lv-LV"/>
        </a:p>
      </dgm:t>
    </dgm:pt>
    <dgm:pt modelId="{E8EEF9F1-F52A-43C1-8549-6643A3E06935}" type="pres">
      <dgm:prSet presAssocID="{465C80AE-B2AF-4099-A88B-D33D1355E012}" presName="parentTextArrow" presStyleLbl="node1" presStyleIdx="2" presStyleCnt="4"/>
      <dgm:spPr/>
      <dgm:t>
        <a:bodyPr/>
        <a:lstStyle/>
        <a:p>
          <a:endParaRPr lang="lv-LV"/>
        </a:p>
      </dgm:t>
    </dgm:pt>
    <dgm:pt modelId="{81780DFB-F983-4CCF-B124-F38B7B7FB0B0}" type="pres">
      <dgm:prSet presAssocID="{465C80AE-B2AF-4099-A88B-D33D1355E012}" presName="arrow" presStyleLbl="node1" presStyleIdx="3" presStyleCnt="4"/>
      <dgm:spPr/>
      <dgm:t>
        <a:bodyPr/>
        <a:lstStyle/>
        <a:p>
          <a:endParaRPr lang="lv-LV"/>
        </a:p>
      </dgm:t>
    </dgm:pt>
    <dgm:pt modelId="{108A41FC-E364-4DD7-BDAE-68D36EA3E3F3}" type="pres">
      <dgm:prSet presAssocID="{465C80AE-B2AF-4099-A88B-D33D1355E012}" presName="descendantArrow" presStyleCnt="0"/>
      <dgm:spPr/>
      <dgm:t>
        <a:bodyPr/>
        <a:lstStyle/>
        <a:p>
          <a:endParaRPr lang="lv-LV"/>
        </a:p>
      </dgm:t>
    </dgm:pt>
    <dgm:pt modelId="{584B2773-5F0A-4682-BC51-7A4D5B1E6ABD}" type="pres">
      <dgm:prSet presAssocID="{ACCC17FB-4597-45B9-9E38-BC16C4262191}" presName="childTextArrow" presStyleLbl="fgAccFollowNode1" presStyleIdx="5" presStyleCnt="7">
        <dgm:presLayoutVars>
          <dgm:bulletEnabled val="1"/>
        </dgm:presLayoutVars>
      </dgm:prSet>
      <dgm:spPr/>
      <dgm:t>
        <a:bodyPr/>
        <a:lstStyle/>
        <a:p>
          <a:endParaRPr lang="lv-LV"/>
        </a:p>
      </dgm:t>
    </dgm:pt>
    <dgm:pt modelId="{F21EE9ED-0099-4AE2-A4A0-CA88A3C23025}" type="pres">
      <dgm:prSet presAssocID="{1232910A-E4CF-40D6-B0D6-FE407DC31F03}" presName="childTextArrow" presStyleLbl="fgAccFollowNode1" presStyleIdx="6" presStyleCnt="7">
        <dgm:presLayoutVars>
          <dgm:bulletEnabled val="1"/>
        </dgm:presLayoutVars>
      </dgm:prSet>
      <dgm:spPr/>
      <dgm:t>
        <a:bodyPr/>
        <a:lstStyle/>
        <a:p>
          <a:endParaRPr lang="lv-LV"/>
        </a:p>
      </dgm:t>
    </dgm:pt>
  </dgm:ptLst>
  <dgm:cxnLst>
    <dgm:cxn modelId="{B49E3F09-7606-41B7-8A74-0D276EE896D0}" type="presOf" srcId="{2C3BD77A-45BF-41C3-819E-CC3E034F20CE}" destId="{3C89D371-5061-42E2-9F40-2E61FB377757}" srcOrd="0" destOrd="0" presId="urn:microsoft.com/office/officeart/2005/8/layout/process4"/>
    <dgm:cxn modelId="{67467E72-9511-4BC2-BF43-4DCEDFC7E42D}" type="presOf" srcId="{465C80AE-B2AF-4099-A88B-D33D1355E012}" destId="{E8EEF9F1-F52A-43C1-8549-6643A3E06935}" srcOrd="0" destOrd="0" presId="urn:microsoft.com/office/officeart/2005/8/layout/process4"/>
    <dgm:cxn modelId="{AE52E41F-7E50-4A88-B6D7-CAD19457033D}" type="presOf" srcId="{BC24D46B-2DE0-4EA2-8C6A-BA6AA4B5E42F}" destId="{A335386E-F694-4462-94CB-7BA9E5D71492}" srcOrd="0" destOrd="0" presId="urn:microsoft.com/office/officeart/2005/8/layout/process4"/>
    <dgm:cxn modelId="{8CDFAB88-C3E6-4BD2-B4B9-EE25E92E59C0}" type="presOf" srcId="{E205DCAA-A37C-4835-AF8D-45E8AAA01EAA}" destId="{D6170BDA-DB9B-490F-A624-39789F89DD64}" srcOrd="0" destOrd="0" presId="urn:microsoft.com/office/officeart/2005/8/layout/process4"/>
    <dgm:cxn modelId="{72BFBE49-5A61-4413-97E4-22B9D4DA012B}" type="presOf" srcId="{7C92E5DC-2FD3-45BE-BE44-349FBDB3F8C2}" destId="{73543F7E-D00D-47AE-BF34-1A4B8CCE6AB3}" srcOrd="1" destOrd="0" presId="urn:microsoft.com/office/officeart/2005/8/layout/process4"/>
    <dgm:cxn modelId="{902DE8EA-A2F3-4EFD-A42E-F1EBE587701A}" srcId="{465C80AE-B2AF-4099-A88B-D33D1355E012}" destId="{1232910A-E4CF-40D6-B0D6-FE407DC31F03}" srcOrd="1" destOrd="0" parTransId="{3DD38142-3187-488E-BFAD-874A2D617631}" sibTransId="{14D7CC17-D73E-42EC-BA76-D8F75A3AC6FE}"/>
    <dgm:cxn modelId="{D7D1E50E-C4CB-4CA9-8896-07E96A258695}" type="presOf" srcId="{00045865-475D-4C9C-9E35-87EEE06673FA}" destId="{2BEB5F3E-B0D1-4007-A524-F208CF09940F}" srcOrd="0" destOrd="0" presId="urn:microsoft.com/office/officeart/2005/8/layout/process4"/>
    <dgm:cxn modelId="{0A354015-B21E-4F3E-B358-3BD692908610}" type="presOf" srcId="{2C3BD77A-45BF-41C3-819E-CC3E034F20CE}" destId="{3C2F619E-73C1-44A1-9A20-FE110D5398B1}" srcOrd="1" destOrd="0" presId="urn:microsoft.com/office/officeart/2005/8/layout/process4"/>
    <dgm:cxn modelId="{990AF608-2766-4B2C-BF93-17F85B4B5CF0}" srcId="{C0AF3062-92F0-4971-8203-F84D0765DF6F}" destId="{00045865-475D-4C9C-9E35-87EEE06673FA}" srcOrd="3" destOrd="0" parTransId="{AD64E811-3DE7-44F3-A204-133735DD2241}" sibTransId="{B88793F6-968B-4583-841C-D6BEEEABC87D}"/>
    <dgm:cxn modelId="{9EFF2C4A-9CC9-4F48-BD4B-DC59B2D86674}" type="presOf" srcId="{00045865-475D-4C9C-9E35-87EEE06673FA}" destId="{BD959735-CAE3-4104-BD8B-839A58975484}" srcOrd="1" destOrd="0" presId="urn:microsoft.com/office/officeart/2005/8/layout/process4"/>
    <dgm:cxn modelId="{C6F70A15-C59F-463B-B1EE-BFBDB9214183}" srcId="{C0AF3062-92F0-4971-8203-F84D0765DF6F}" destId="{465C80AE-B2AF-4099-A88B-D33D1355E012}" srcOrd="0" destOrd="0" parTransId="{9D8E5DEB-B73C-420C-828C-11A772D3983F}" sibTransId="{EC429FC6-5E76-492C-A634-80E7D78046DC}"/>
    <dgm:cxn modelId="{937B272E-E0C0-4294-B2BA-3C962DE9B6CC}" type="presOf" srcId="{C0AF3062-92F0-4971-8203-F84D0765DF6F}" destId="{71C8BE48-3146-40B9-BA96-E0B7AD4223BE}" srcOrd="0" destOrd="0" presId="urn:microsoft.com/office/officeart/2005/8/layout/process4"/>
    <dgm:cxn modelId="{439808FD-9225-435F-B097-B744F8F70466}" srcId="{7C92E5DC-2FD3-45BE-BE44-349FBDB3F8C2}" destId="{C2D62937-C97B-4B57-80B2-0307B831B9DF}" srcOrd="0" destOrd="0" parTransId="{8BDA14C3-51CA-44DC-B6B5-ABFC9154D2CD}" sibTransId="{CD823DBE-01EB-41A1-B040-1063B1BB95CA}"/>
    <dgm:cxn modelId="{6BB6959E-8F1C-474F-90B4-175EC45ABE9A}" srcId="{C0AF3062-92F0-4971-8203-F84D0765DF6F}" destId="{7C92E5DC-2FD3-45BE-BE44-349FBDB3F8C2}" srcOrd="1" destOrd="0" parTransId="{7A0C0A51-0D82-4C3C-AEC7-CBF5EE5DBE11}" sibTransId="{E67083F0-EA94-4F67-B702-F0A015A2D29D}"/>
    <dgm:cxn modelId="{3F0045ED-7AE1-4425-8440-DC3DBA4733DA}" srcId="{00045865-475D-4C9C-9E35-87EEE06673FA}" destId="{E205DCAA-A37C-4835-AF8D-45E8AAA01EAA}" srcOrd="0" destOrd="0" parTransId="{35E1D69C-400F-47D7-9F76-CF29F67B97D7}" sibTransId="{CA414ABF-6AC9-4355-BCAC-A9237336FA42}"/>
    <dgm:cxn modelId="{798DCDBD-A995-4150-AEA9-5C86D039DECC}" srcId="{465C80AE-B2AF-4099-A88B-D33D1355E012}" destId="{ACCC17FB-4597-45B9-9E38-BC16C4262191}" srcOrd="0" destOrd="0" parTransId="{EC0DE473-BB25-4451-B0CF-C4862EF67C57}" sibTransId="{F57CD611-CB28-4D20-AC4C-CFBF5D366618}"/>
    <dgm:cxn modelId="{97D0B15C-A2C0-4D9F-9AAE-00E10E9DDDD6}" srcId="{C0AF3062-92F0-4971-8203-F84D0765DF6F}" destId="{2C3BD77A-45BF-41C3-819E-CC3E034F20CE}" srcOrd="2" destOrd="0" parTransId="{6C9D61F9-4BB6-4E6A-8C2C-695F5DF7AE29}" sibTransId="{B28CB605-DAFD-4947-AA2D-AD253E7C3A69}"/>
    <dgm:cxn modelId="{2AAE6230-D66A-4F21-837E-A9D38F22E044}" type="presOf" srcId="{C2D62937-C97B-4B57-80B2-0307B831B9DF}" destId="{F4AFE10E-22E6-4A21-89A7-B83F66280738}" srcOrd="0" destOrd="0" presId="urn:microsoft.com/office/officeart/2005/8/layout/process4"/>
    <dgm:cxn modelId="{6A58D6CE-2A1E-4A41-AA9A-2E3593854379}" srcId="{2C3BD77A-45BF-41C3-819E-CC3E034F20CE}" destId="{7A8E85CF-C8CC-46BF-9556-64FA730B550B}" srcOrd="0" destOrd="0" parTransId="{A24A05CD-A07A-483B-978C-C0C711CC5AAD}" sibTransId="{C1AD3306-047E-42BB-9EAA-19066D848467}"/>
    <dgm:cxn modelId="{A8D08483-8EF6-4EDE-86E3-56DF5BF26AE6}" type="presOf" srcId="{ACCC17FB-4597-45B9-9E38-BC16C4262191}" destId="{584B2773-5F0A-4682-BC51-7A4D5B1E6ABD}" srcOrd="0" destOrd="0" presId="urn:microsoft.com/office/officeart/2005/8/layout/process4"/>
    <dgm:cxn modelId="{E506C81D-3AD2-4D5B-A0C5-3F6965050AA4}" srcId="{7C92E5DC-2FD3-45BE-BE44-349FBDB3F8C2}" destId="{BC24D46B-2DE0-4EA2-8C6A-BA6AA4B5E42F}" srcOrd="1" destOrd="0" parTransId="{562BF77D-9B09-46B5-BC7D-7E77754FFAF3}" sibTransId="{F894F84D-94D6-4585-9884-5C3351D9AA48}"/>
    <dgm:cxn modelId="{874946DD-65A2-42B5-9B30-3DAC05F6D10C}" type="presOf" srcId="{7C92E5DC-2FD3-45BE-BE44-349FBDB3F8C2}" destId="{30D29567-C166-4E99-AD95-370ED643EE90}" srcOrd="0" destOrd="0" presId="urn:microsoft.com/office/officeart/2005/8/layout/process4"/>
    <dgm:cxn modelId="{2929A840-873E-4D25-A26A-CF3B0033BAC4}" type="presOf" srcId="{1232910A-E4CF-40D6-B0D6-FE407DC31F03}" destId="{F21EE9ED-0099-4AE2-A4A0-CA88A3C23025}" srcOrd="0" destOrd="0" presId="urn:microsoft.com/office/officeart/2005/8/layout/process4"/>
    <dgm:cxn modelId="{93333835-59C6-4FAA-B838-735258CC8602}" srcId="{2C3BD77A-45BF-41C3-819E-CC3E034F20CE}" destId="{06B946BC-8264-47D1-832F-39F60C4B143D}" srcOrd="1" destOrd="0" parTransId="{7A1031E3-1AE7-4396-A2D8-D1D42A3E476A}" sibTransId="{76D77C3E-C25F-428D-9D97-5849EF6C1C12}"/>
    <dgm:cxn modelId="{E725F792-E1C8-4093-8A7C-7778FAAB7053}" type="presOf" srcId="{7A8E85CF-C8CC-46BF-9556-64FA730B550B}" destId="{700B21CD-AA24-41E7-898C-DCCCBCC680EF}" srcOrd="0" destOrd="0" presId="urn:microsoft.com/office/officeart/2005/8/layout/process4"/>
    <dgm:cxn modelId="{A6B14D55-EBC8-46B9-900F-12AE8ECD4093}" type="presOf" srcId="{06B946BC-8264-47D1-832F-39F60C4B143D}" destId="{8DE892B8-B3F5-4C67-A5C9-678C6BD05799}" srcOrd="0" destOrd="0" presId="urn:microsoft.com/office/officeart/2005/8/layout/process4"/>
    <dgm:cxn modelId="{03BEE8D4-BF25-4FB0-A3B4-FDEA9C6AF923}" type="presOf" srcId="{465C80AE-B2AF-4099-A88B-D33D1355E012}" destId="{81780DFB-F983-4CCF-B124-F38B7B7FB0B0}" srcOrd="1" destOrd="0" presId="urn:microsoft.com/office/officeart/2005/8/layout/process4"/>
    <dgm:cxn modelId="{9463C5A5-EDEA-4004-970A-9E47718FAC5D}" type="presParOf" srcId="{71C8BE48-3146-40B9-BA96-E0B7AD4223BE}" destId="{48DF4FF7-2CCF-4BAB-9AB5-4F907FEDE8BA}" srcOrd="0" destOrd="0" presId="urn:microsoft.com/office/officeart/2005/8/layout/process4"/>
    <dgm:cxn modelId="{95076441-DF59-4E7D-9F2D-398833C1846E}" type="presParOf" srcId="{48DF4FF7-2CCF-4BAB-9AB5-4F907FEDE8BA}" destId="{2BEB5F3E-B0D1-4007-A524-F208CF09940F}" srcOrd="0" destOrd="0" presId="urn:microsoft.com/office/officeart/2005/8/layout/process4"/>
    <dgm:cxn modelId="{298D06C3-FA7B-4911-B42A-F094083B6A95}" type="presParOf" srcId="{48DF4FF7-2CCF-4BAB-9AB5-4F907FEDE8BA}" destId="{BD959735-CAE3-4104-BD8B-839A58975484}" srcOrd="1" destOrd="0" presId="urn:microsoft.com/office/officeart/2005/8/layout/process4"/>
    <dgm:cxn modelId="{982800AB-060F-454A-9A83-9B69C913BB24}" type="presParOf" srcId="{48DF4FF7-2CCF-4BAB-9AB5-4F907FEDE8BA}" destId="{7483FE0E-370D-40BA-94E8-C07408E83840}" srcOrd="2" destOrd="0" presId="urn:microsoft.com/office/officeart/2005/8/layout/process4"/>
    <dgm:cxn modelId="{B026E824-99BF-434A-A6C0-B006D53CDA41}" type="presParOf" srcId="{7483FE0E-370D-40BA-94E8-C07408E83840}" destId="{D6170BDA-DB9B-490F-A624-39789F89DD64}" srcOrd="0" destOrd="0" presId="urn:microsoft.com/office/officeart/2005/8/layout/process4"/>
    <dgm:cxn modelId="{1790A845-F665-46A0-B10B-48D23DE03F17}" type="presParOf" srcId="{71C8BE48-3146-40B9-BA96-E0B7AD4223BE}" destId="{F81A4AEC-7A01-43B1-818E-45DA9231A076}" srcOrd="1" destOrd="0" presId="urn:microsoft.com/office/officeart/2005/8/layout/process4"/>
    <dgm:cxn modelId="{73845E41-4C82-49FA-97A7-8F5AC71ACEA7}" type="presParOf" srcId="{71C8BE48-3146-40B9-BA96-E0B7AD4223BE}" destId="{F543B288-3AB1-42F3-B2EB-C27144847B98}" srcOrd="2" destOrd="0" presId="urn:microsoft.com/office/officeart/2005/8/layout/process4"/>
    <dgm:cxn modelId="{7DBA73DA-FDC7-4D66-A472-6C22A065E603}" type="presParOf" srcId="{F543B288-3AB1-42F3-B2EB-C27144847B98}" destId="{3C89D371-5061-42E2-9F40-2E61FB377757}" srcOrd="0" destOrd="0" presId="urn:microsoft.com/office/officeart/2005/8/layout/process4"/>
    <dgm:cxn modelId="{5ABA8EFB-463E-46AC-A8DC-39E611AF726B}" type="presParOf" srcId="{F543B288-3AB1-42F3-B2EB-C27144847B98}" destId="{3C2F619E-73C1-44A1-9A20-FE110D5398B1}" srcOrd="1" destOrd="0" presId="urn:microsoft.com/office/officeart/2005/8/layout/process4"/>
    <dgm:cxn modelId="{86A9135C-A00E-436E-9AC0-408F3E089D65}" type="presParOf" srcId="{F543B288-3AB1-42F3-B2EB-C27144847B98}" destId="{9F24CE91-ED3D-4364-8CEC-B1A3754C1C66}" srcOrd="2" destOrd="0" presId="urn:microsoft.com/office/officeart/2005/8/layout/process4"/>
    <dgm:cxn modelId="{0E229710-88AA-4881-AE0D-F7BFE76D585D}" type="presParOf" srcId="{9F24CE91-ED3D-4364-8CEC-B1A3754C1C66}" destId="{700B21CD-AA24-41E7-898C-DCCCBCC680EF}" srcOrd="0" destOrd="0" presId="urn:microsoft.com/office/officeart/2005/8/layout/process4"/>
    <dgm:cxn modelId="{F17E3D9F-5402-49FC-B9B4-8581D02C46E5}" type="presParOf" srcId="{9F24CE91-ED3D-4364-8CEC-B1A3754C1C66}" destId="{8DE892B8-B3F5-4C67-A5C9-678C6BD05799}" srcOrd="1" destOrd="0" presId="urn:microsoft.com/office/officeart/2005/8/layout/process4"/>
    <dgm:cxn modelId="{E2605C20-3FB2-49B5-91E2-5462BD676C4F}" type="presParOf" srcId="{71C8BE48-3146-40B9-BA96-E0B7AD4223BE}" destId="{CA44163B-57E2-4A9B-9018-83C57657568C}" srcOrd="3" destOrd="0" presId="urn:microsoft.com/office/officeart/2005/8/layout/process4"/>
    <dgm:cxn modelId="{6C6F4C55-3551-4238-8989-3D17458EB0F9}" type="presParOf" srcId="{71C8BE48-3146-40B9-BA96-E0B7AD4223BE}" destId="{52109B35-F31F-4ACA-BB9C-7798D8B348BF}" srcOrd="4" destOrd="0" presId="urn:microsoft.com/office/officeart/2005/8/layout/process4"/>
    <dgm:cxn modelId="{64EADFDD-807E-491E-A182-D46AC09F235B}" type="presParOf" srcId="{52109B35-F31F-4ACA-BB9C-7798D8B348BF}" destId="{30D29567-C166-4E99-AD95-370ED643EE90}" srcOrd="0" destOrd="0" presId="urn:microsoft.com/office/officeart/2005/8/layout/process4"/>
    <dgm:cxn modelId="{9D07D456-5436-4253-AF5E-67E3F8F4F18E}" type="presParOf" srcId="{52109B35-F31F-4ACA-BB9C-7798D8B348BF}" destId="{73543F7E-D00D-47AE-BF34-1A4B8CCE6AB3}" srcOrd="1" destOrd="0" presId="urn:microsoft.com/office/officeart/2005/8/layout/process4"/>
    <dgm:cxn modelId="{8478DD10-08D9-4CE8-B26F-7698A2F38CC5}" type="presParOf" srcId="{52109B35-F31F-4ACA-BB9C-7798D8B348BF}" destId="{A182197A-A5E4-49A9-A067-514B3798B9DF}" srcOrd="2" destOrd="0" presId="urn:microsoft.com/office/officeart/2005/8/layout/process4"/>
    <dgm:cxn modelId="{CC3A7715-53FE-40FA-AC3B-D686E260BD72}" type="presParOf" srcId="{A182197A-A5E4-49A9-A067-514B3798B9DF}" destId="{F4AFE10E-22E6-4A21-89A7-B83F66280738}" srcOrd="0" destOrd="0" presId="urn:microsoft.com/office/officeart/2005/8/layout/process4"/>
    <dgm:cxn modelId="{DAC62A1D-631E-47BD-94C4-EF985E7FD4AD}" type="presParOf" srcId="{A182197A-A5E4-49A9-A067-514B3798B9DF}" destId="{A335386E-F694-4462-94CB-7BA9E5D71492}" srcOrd="1" destOrd="0" presId="urn:microsoft.com/office/officeart/2005/8/layout/process4"/>
    <dgm:cxn modelId="{0384564A-AD4A-47A2-8318-739283530978}" type="presParOf" srcId="{71C8BE48-3146-40B9-BA96-E0B7AD4223BE}" destId="{C87E2BD3-8DCA-4513-97F1-B63D8557781C}" srcOrd="5" destOrd="0" presId="urn:microsoft.com/office/officeart/2005/8/layout/process4"/>
    <dgm:cxn modelId="{990004AA-B875-47AB-A461-A88E66C8EAB7}" type="presParOf" srcId="{71C8BE48-3146-40B9-BA96-E0B7AD4223BE}" destId="{63F793A4-DC8E-4B6D-8686-C623F1081DCF}" srcOrd="6" destOrd="0" presId="urn:microsoft.com/office/officeart/2005/8/layout/process4"/>
    <dgm:cxn modelId="{FEE887DA-826A-44A9-9CB7-5E9AE2A63994}" type="presParOf" srcId="{63F793A4-DC8E-4B6D-8686-C623F1081DCF}" destId="{E8EEF9F1-F52A-43C1-8549-6643A3E06935}" srcOrd="0" destOrd="0" presId="urn:microsoft.com/office/officeart/2005/8/layout/process4"/>
    <dgm:cxn modelId="{BB4D2AB8-078D-4309-9925-FA1EE3390E3D}" type="presParOf" srcId="{63F793A4-DC8E-4B6D-8686-C623F1081DCF}" destId="{81780DFB-F983-4CCF-B124-F38B7B7FB0B0}" srcOrd="1" destOrd="0" presId="urn:microsoft.com/office/officeart/2005/8/layout/process4"/>
    <dgm:cxn modelId="{0EDF724C-7701-4401-878D-E02B1B97AA51}" type="presParOf" srcId="{63F793A4-DC8E-4B6D-8686-C623F1081DCF}" destId="{108A41FC-E364-4DD7-BDAE-68D36EA3E3F3}" srcOrd="2" destOrd="0" presId="urn:microsoft.com/office/officeart/2005/8/layout/process4"/>
    <dgm:cxn modelId="{37961EE7-D988-4CA5-8A2D-3AFEC08D494E}" type="presParOf" srcId="{108A41FC-E364-4DD7-BDAE-68D36EA3E3F3}" destId="{584B2773-5F0A-4682-BC51-7A4D5B1E6ABD}" srcOrd="0" destOrd="0" presId="urn:microsoft.com/office/officeart/2005/8/layout/process4"/>
    <dgm:cxn modelId="{4E56AD47-294B-4E65-8AC9-220010AD4CF6}" type="presParOf" srcId="{108A41FC-E364-4DD7-BDAE-68D36EA3E3F3}" destId="{F21EE9ED-0099-4AE2-A4A0-CA88A3C23025}" srcOrd="1" destOrd="0" presId="urn:microsoft.com/office/officeart/2005/8/layout/process4"/>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1"/>
    </a:ext>
  </dgm:extLst>
</dgm:dataModel>
</file>

<file path=word/diagrams/data2.xml><?xml version="1.0" encoding="utf-8"?>
<dgm:dataModel xmlns:dgm="http://schemas.openxmlformats.org/drawingml/2006/diagram" xmlns:a="http://schemas.openxmlformats.org/drawingml/2006/main">
  <dgm:ptLst>
    <dgm:pt modelId="{DB18A639-ACA6-49F8-B6B4-A7F3DC672523}" type="doc">
      <dgm:prSet loTypeId="urn:microsoft.com/office/officeart/2005/8/layout/vList5" loCatId="list" qsTypeId="urn:microsoft.com/office/officeart/2005/8/quickstyle/simple1" qsCatId="simple" csTypeId="urn:microsoft.com/office/officeart/2005/8/colors/accent2_2" csCatId="accent2" phldr="1"/>
      <dgm:spPr/>
      <dgm:t>
        <a:bodyPr/>
        <a:lstStyle/>
        <a:p>
          <a:endParaRPr lang="lv-LV"/>
        </a:p>
      </dgm:t>
    </dgm:pt>
    <dgm:pt modelId="{2630D2AD-F462-4A7D-AAB2-2044B7773D27}">
      <dgm:prSet phldrT="[Text]" custT="1"/>
      <dgm:spPr/>
      <dgm:t>
        <a:bodyPr/>
        <a:lstStyle/>
        <a:p>
          <a:r>
            <a:rPr lang="lv-LV" sz="1100">
              <a:latin typeface="Times New Roman" panose="02020603050405020304" pitchFamily="18" charset="0"/>
              <a:cs typeface="Times New Roman" panose="02020603050405020304" pitchFamily="18" charset="0"/>
            </a:rPr>
            <a:t>Zinātnisko institūciju licenču/patentu ieņēmumi (EUR)</a:t>
          </a:r>
        </a:p>
      </dgm:t>
    </dgm:pt>
    <dgm:pt modelId="{B51F21DE-8568-4AF4-B4C4-57ED5522938B}" type="parTrans" cxnId="{D580937E-A508-4FC4-8446-3BC9F282F986}">
      <dgm:prSet/>
      <dgm:spPr/>
      <dgm:t>
        <a:bodyPr/>
        <a:lstStyle/>
        <a:p>
          <a:endParaRPr lang="lv-LV" sz="1100">
            <a:latin typeface="Times New Roman" panose="02020603050405020304" pitchFamily="18" charset="0"/>
            <a:cs typeface="Times New Roman" panose="02020603050405020304" pitchFamily="18" charset="0"/>
          </a:endParaRPr>
        </a:p>
      </dgm:t>
    </dgm:pt>
    <dgm:pt modelId="{708CD739-B8E0-4D6F-B497-EB60B743CF40}" type="sibTrans" cxnId="{D580937E-A508-4FC4-8446-3BC9F282F986}">
      <dgm:prSet/>
      <dgm:spPr/>
      <dgm:t>
        <a:bodyPr/>
        <a:lstStyle/>
        <a:p>
          <a:endParaRPr lang="lv-LV" sz="1100">
            <a:latin typeface="Times New Roman" panose="02020603050405020304" pitchFamily="18" charset="0"/>
            <a:cs typeface="Times New Roman" panose="02020603050405020304" pitchFamily="18" charset="0"/>
          </a:endParaRPr>
        </a:p>
      </dgm:t>
    </dgm:pt>
    <dgm:pt modelId="{A17408DC-B13C-4224-BB93-4E039F119259}">
      <dgm:prSet phldrT="[Text]" custT="1"/>
      <dgm:spPr/>
      <dgm:t>
        <a:bodyPr/>
        <a:lstStyle/>
        <a:p>
          <a:r>
            <a:rPr lang="lv-LV" sz="1100">
              <a:latin typeface="Times New Roman" panose="02020603050405020304" pitchFamily="18" charset="0"/>
              <a:cs typeface="Times New Roman" panose="02020603050405020304" pitchFamily="18" charset="0"/>
            </a:rPr>
            <a:t>tehnoloģiju tiesības (PUD 1.1.1.f)</a:t>
          </a:r>
        </a:p>
      </dgm:t>
    </dgm:pt>
    <dgm:pt modelId="{861C1BF6-8FFF-45DC-831A-DEBCBCB8EBCB}" type="parTrans" cxnId="{EFA82B60-F59F-43E9-A719-721551356FD2}">
      <dgm:prSet/>
      <dgm:spPr/>
      <dgm:t>
        <a:bodyPr/>
        <a:lstStyle/>
        <a:p>
          <a:endParaRPr lang="lv-LV" sz="1100">
            <a:latin typeface="Times New Roman" panose="02020603050405020304" pitchFamily="18" charset="0"/>
            <a:cs typeface="Times New Roman" panose="02020603050405020304" pitchFamily="18" charset="0"/>
          </a:endParaRPr>
        </a:p>
      </dgm:t>
    </dgm:pt>
    <dgm:pt modelId="{FCD20E93-E853-43C4-A21A-0C1EDD59A029}" type="sibTrans" cxnId="{EFA82B60-F59F-43E9-A719-721551356FD2}">
      <dgm:prSet/>
      <dgm:spPr/>
      <dgm:t>
        <a:bodyPr/>
        <a:lstStyle/>
        <a:p>
          <a:endParaRPr lang="lv-LV" sz="1100">
            <a:latin typeface="Times New Roman" panose="02020603050405020304" pitchFamily="18" charset="0"/>
            <a:cs typeface="Times New Roman" panose="02020603050405020304" pitchFamily="18" charset="0"/>
          </a:endParaRPr>
        </a:p>
      </dgm:t>
    </dgm:pt>
    <dgm:pt modelId="{52690AF1-CF1A-46AE-A81A-1A24A0FD87B2}">
      <dgm:prSet phldrT="[Text]" custT="1"/>
      <dgm:spPr/>
      <dgm:t>
        <a:bodyPr/>
        <a:lstStyle/>
        <a:p>
          <a:r>
            <a:rPr lang="lv-LV" sz="1100">
              <a:latin typeface="Times New Roman" panose="02020603050405020304" pitchFamily="18" charset="0"/>
              <a:cs typeface="Times New Roman" panose="02020603050405020304" pitchFamily="18" charset="0"/>
            </a:rPr>
            <a:t>Uzņēmumu skaits, kas saņēmuši atbalstu, lai ieviestu jaunus produktus un tehnoloģijas</a:t>
          </a:r>
        </a:p>
      </dgm:t>
    </dgm:pt>
    <dgm:pt modelId="{810C9571-A9AF-42C8-BA38-5AD0FBBD03CC}" type="parTrans" cxnId="{1A691797-9976-4815-8596-728659A7D01D}">
      <dgm:prSet/>
      <dgm:spPr/>
      <dgm:t>
        <a:bodyPr/>
        <a:lstStyle/>
        <a:p>
          <a:endParaRPr lang="lv-LV" sz="1100">
            <a:latin typeface="Times New Roman" panose="02020603050405020304" pitchFamily="18" charset="0"/>
            <a:cs typeface="Times New Roman" panose="02020603050405020304" pitchFamily="18" charset="0"/>
          </a:endParaRPr>
        </a:p>
      </dgm:t>
    </dgm:pt>
    <dgm:pt modelId="{96F35E27-475C-41A1-8316-18A22D21A3E2}" type="sibTrans" cxnId="{1A691797-9976-4815-8596-728659A7D01D}">
      <dgm:prSet/>
      <dgm:spPr/>
      <dgm:t>
        <a:bodyPr/>
        <a:lstStyle/>
        <a:p>
          <a:endParaRPr lang="lv-LV" sz="1100">
            <a:latin typeface="Times New Roman" panose="02020603050405020304" pitchFamily="18" charset="0"/>
            <a:cs typeface="Times New Roman" panose="02020603050405020304" pitchFamily="18" charset="0"/>
          </a:endParaRPr>
        </a:p>
      </dgm:t>
    </dgm:pt>
    <dgm:pt modelId="{3DF138B8-077E-4AFC-80CD-D94DB2186C66}">
      <dgm:prSet phldrT="[Text]" custT="1"/>
      <dgm:spPr/>
      <dgm:t>
        <a:bodyPr/>
        <a:lstStyle/>
        <a:p>
          <a:r>
            <a:rPr lang="lv-LV" sz="1100">
              <a:latin typeface="Times New Roman" panose="02020603050405020304" pitchFamily="18" charset="0"/>
              <a:cs typeface="Times New Roman" panose="02020603050405020304" pitchFamily="18" charset="0"/>
            </a:rPr>
            <a:t>jauno produktu un tehnoloģiju skaits (i.1.1.1.g)</a:t>
          </a:r>
        </a:p>
      </dgm:t>
    </dgm:pt>
    <dgm:pt modelId="{DAC2CB78-E176-4621-B585-235695C73DE9}" type="parTrans" cxnId="{53592B67-3A99-47EF-8D86-422CD6984C54}">
      <dgm:prSet/>
      <dgm:spPr/>
      <dgm:t>
        <a:bodyPr/>
        <a:lstStyle/>
        <a:p>
          <a:endParaRPr lang="lv-LV" sz="1100">
            <a:latin typeface="Times New Roman" panose="02020603050405020304" pitchFamily="18" charset="0"/>
            <a:cs typeface="Times New Roman" panose="02020603050405020304" pitchFamily="18" charset="0"/>
          </a:endParaRPr>
        </a:p>
      </dgm:t>
    </dgm:pt>
    <dgm:pt modelId="{F16F69BA-7D74-41C7-8738-C3FDF9F93425}" type="sibTrans" cxnId="{53592B67-3A99-47EF-8D86-422CD6984C54}">
      <dgm:prSet/>
      <dgm:spPr/>
      <dgm:t>
        <a:bodyPr/>
        <a:lstStyle/>
        <a:p>
          <a:endParaRPr lang="lv-LV" sz="1100">
            <a:latin typeface="Times New Roman" panose="02020603050405020304" pitchFamily="18" charset="0"/>
            <a:cs typeface="Times New Roman" panose="02020603050405020304" pitchFamily="18" charset="0"/>
          </a:endParaRPr>
        </a:p>
      </dgm:t>
    </dgm:pt>
    <dgm:pt modelId="{6A1D79E4-D9A9-418A-A383-7684C0DD7E6D}">
      <dgm:prSet phldrT="[Text]" custT="1"/>
      <dgm:spPr/>
      <dgm:t>
        <a:bodyPr/>
        <a:lstStyle/>
        <a:p>
          <a:pPr marL="115200" indent="-115200">
            <a:lnSpc>
              <a:spcPct val="90000"/>
            </a:lnSpc>
            <a:spcAft>
              <a:spcPts val="216"/>
            </a:spcAft>
          </a:pPr>
          <a:r>
            <a:rPr lang="lv-LV" sz="1100">
              <a:latin typeface="Times New Roman" panose="02020603050405020304" pitchFamily="18" charset="0"/>
              <a:cs typeface="Times New Roman" panose="02020603050405020304" pitchFamily="18" charset="0"/>
            </a:rPr>
            <a:t>privātās investīcijas, kas papildina valsts atbalstu P&amp;A&amp;I (i.1.1.1.f)</a:t>
          </a:r>
        </a:p>
      </dgm:t>
    </dgm:pt>
    <dgm:pt modelId="{53203C82-4BB9-4086-ABE5-F36BF3091960}" type="parTrans" cxnId="{964410B7-D27B-4396-B25F-0F509958452C}">
      <dgm:prSet/>
      <dgm:spPr/>
      <dgm:t>
        <a:bodyPr/>
        <a:lstStyle/>
        <a:p>
          <a:endParaRPr lang="lv-LV" sz="1100">
            <a:latin typeface="Times New Roman" panose="02020603050405020304" pitchFamily="18" charset="0"/>
            <a:cs typeface="Times New Roman" panose="02020603050405020304" pitchFamily="18" charset="0"/>
          </a:endParaRPr>
        </a:p>
      </dgm:t>
    </dgm:pt>
    <dgm:pt modelId="{DA080517-53ED-4889-9213-F5DA1ABF67D9}" type="sibTrans" cxnId="{964410B7-D27B-4396-B25F-0F509958452C}">
      <dgm:prSet/>
      <dgm:spPr/>
      <dgm:t>
        <a:bodyPr/>
        <a:lstStyle/>
        <a:p>
          <a:endParaRPr lang="lv-LV" sz="1100">
            <a:latin typeface="Times New Roman" panose="02020603050405020304" pitchFamily="18" charset="0"/>
            <a:cs typeface="Times New Roman" panose="02020603050405020304" pitchFamily="18" charset="0"/>
          </a:endParaRPr>
        </a:p>
      </dgm:t>
    </dgm:pt>
    <dgm:pt modelId="{39D9AF05-8E38-48FB-9B9D-743F06B79A65}">
      <dgm:prSet phldrT="[Text]" custT="1"/>
      <dgm:spPr/>
      <dgm:t>
        <a:bodyPr/>
        <a:lstStyle/>
        <a:p>
          <a:r>
            <a:rPr lang="lv-LV" sz="1100">
              <a:latin typeface="Times New Roman" panose="02020603050405020304" pitchFamily="18" charset="0"/>
              <a:cs typeface="Times New Roman" panose="02020603050405020304" pitchFamily="18" charset="0"/>
            </a:rPr>
            <a:t>Uzņēmumu līdzfinansējums P&amp;A projektiem (EUR)</a:t>
          </a:r>
        </a:p>
      </dgm:t>
    </dgm:pt>
    <dgm:pt modelId="{031B4744-86E0-48CC-867C-9D2ACB0A793F}" type="parTrans" cxnId="{3E7B165A-C82D-4CF6-B4A8-5686062E5C22}">
      <dgm:prSet/>
      <dgm:spPr/>
      <dgm:t>
        <a:bodyPr/>
        <a:lstStyle/>
        <a:p>
          <a:endParaRPr lang="lv-LV" sz="1100">
            <a:latin typeface="Times New Roman" panose="02020603050405020304" pitchFamily="18" charset="0"/>
            <a:cs typeface="Times New Roman" panose="02020603050405020304" pitchFamily="18" charset="0"/>
          </a:endParaRPr>
        </a:p>
      </dgm:t>
    </dgm:pt>
    <dgm:pt modelId="{529A4979-9FED-4F00-9021-D1B57B77122E}" type="sibTrans" cxnId="{3E7B165A-C82D-4CF6-B4A8-5686062E5C22}">
      <dgm:prSet/>
      <dgm:spPr/>
      <dgm:t>
        <a:bodyPr/>
        <a:lstStyle/>
        <a:p>
          <a:endParaRPr lang="lv-LV" sz="1100">
            <a:latin typeface="Times New Roman" panose="02020603050405020304" pitchFamily="18" charset="0"/>
            <a:cs typeface="Times New Roman" panose="02020603050405020304" pitchFamily="18" charset="0"/>
          </a:endParaRPr>
        </a:p>
      </dgm:t>
    </dgm:pt>
    <dgm:pt modelId="{5B6EED73-9AD5-426A-9ADE-E7A337B14733}">
      <dgm:prSet phldrT="[Text]" custT="1"/>
      <dgm:spPr/>
      <dgm:t>
        <a:bodyPr/>
        <a:lstStyle/>
        <a:p>
          <a:r>
            <a:rPr lang="lv-LV" sz="1100">
              <a:latin typeface="Times New Roman" panose="02020603050405020304" pitchFamily="18" charset="0"/>
              <a:cs typeface="Times New Roman" panose="02020603050405020304" pitchFamily="18" charset="0"/>
            </a:rPr>
            <a:t>intelektuālā īpašuma licences līgumi (PUD 1.1.1.g)</a:t>
          </a:r>
        </a:p>
      </dgm:t>
    </dgm:pt>
    <dgm:pt modelId="{A82B294F-FE92-4EA3-AF1D-1C96CF587C54}" type="parTrans" cxnId="{39884674-2BC6-400B-B54E-845A46DE6FCA}">
      <dgm:prSet/>
      <dgm:spPr/>
      <dgm:t>
        <a:bodyPr/>
        <a:lstStyle/>
        <a:p>
          <a:endParaRPr lang="lv-LV" sz="1100">
            <a:latin typeface="Times New Roman" panose="02020603050405020304" pitchFamily="18" charset="0"/>
            <a:cs typeface="Times New Roman" panose="02020603050405020304" pitchFamily="18" charset="0"/>
          </a:endParaRPr>
        </a:p>
      </dgm:t>
    </dgm:pt>
    <dgm:pt modelId="{50871328-4BD6-4286-8ECC-9D3A1047C033}" type="sibTrans" cxnId="{39884674-2BC6-400B-B54E-845A46DE6FCA}">
      <dgm:prSet/>
      <dgm:spPr/>
      <dgm:t>
        <a:bodyPr/>
        <a:lstStyle/>
        <a:p>
          <a:endParaRPr lang="lv-LV" sz="1100">
            <a:latin typeface="Times New Roman" panose="02020603050405020304" pitchFamily="18" charset="0"/>
            <a:cs typeface="Times New Roman" panose="02020603050405020304" pitchFamily="18" charset="0"/>
          </a:endParaRPr>
        </a:p>
      </dgm:t>
    </dgm:pt>
    <dgm:pt modelId="{4BB7A773-2086-4C19-97D4-D1D7923687D2}">
      <dgm:prSet phldrT="[Text]" custT="1"/>
      <dgm:spPr/>
      <dgm:t>
        <a:bodyPr/>
        <a:lstStyle/>
        <a:p>
          <a:r>
            <a:rPr lang="lv-LV" sz="1100">
              <a:latin typeface="Times New Roman" panose="02020603050405020304" pitchFamily="18" charset="0"/>
              <a:cs typeface="Times New Roman" panose="02020603050405020304" pitchFamily="18" charset="0"/>
            </a:rPr>
            <a:t>Jaunradītās darba vietas, t.sk. tās, kurās nodarbināti zinātniskie darbinieki publiskā / uzņēmējdarbības sektorā</a:t>
          </a:r>
        </a:p>
      </dgm:t>
    </dgm:pt>
    <dgm:pt modelId="{CB307E43-6E18-43BD-992C-A8ABF6870084}" type="parTrans" cxnId="{D340879B-4F98-450E-BA8B-BAC3973EED42}">
      <dgm:prSet/>
      <dgm:spPr/>
      <dgm:t>
        <a:bodyPr/>
        <a:lstStyle/>
        <a:p>
          <a:endParaRPr lang="lv-LV" sz="1100">
            <a:latin typeface="Times New Roman" panose="02020603050405020304" pitchFamily="18" charset="0"/>
            <a:cs typeface="Times New Roman" panose="02020603050405020304" pitchFamily="18" charset="0"/>
          </a:endParaRPr>
        </a:p>
      </dgm:t>
    </dgm:pt>
    <dgm:pt modelId="{94F739BD-3FE6-4D4E-B6C0-E39B8DBC68D1}" type="sibTrans" cxnId="{D340879B-4F98-450E-BA8B-BAC3973EED42}">
      <dgm:prSet/>
      <dgm:spPr/>
      <dgm:t>
        <a:bodyPr/>
        <a:lstStyle/>
        <a:p>
          <a:endParaRPr lang="lv-LV" sz="1100">
            <a:latin typeface="Times New Roman" panose="02020603050405020304" pitchFamily="18" charset="0"/>
            <a:cs typeface="Times New Roman" panose="02020603050405020304" pitchFamily="18" charset="0"/>
          </a:endParaRPr>
        </a:p>
      </dgm:t>
    </dgm:pt>
    <dgm:pt modelId="{C403270B-55E2-4D0C-92BC-C7E5EB1DA099}">
      <dgm:prSet phldrT="[Text]" custT="1"/>
      <dgm:spPr/>
      <dgm:t>
        <a:bodyPr/>
        <a:lstStyle/>
        <a:p>
          <a:r>
            <a:rPr lang="lv-LV" sz="1100">
              <a:latin typeface="Times New Roman" panose="02020603050405020304" pitchFamily="18" charset="0"/>
              <a:cs typeface="Times New Roman" panose="02020603050405020304" pitchFamily="18" charset="0"/>
            </a:rPr>
            <a:t>jauna produkta vai tehnoloģijas prototips (PUD 1.1.1.d), t.sk. jauna ārstniecības un diagnostikas metode (PUD 1.1.1.e)</a:t>
          </a:r>
        </a:p>
      </dgm:t>
    </dgm:pt>
    <dgm:pt modelId="{A6AC58E0-F2F1-45FA-9FB3-2FF826842329}" type="parTrans" cxnId="{08134EA6-D138-42EB-ADC9-C5A6B53EF609}">
      <dgm:prSet/>
      <dgm:spPr/>
      <dgm:t>
        <a:bodyPr/>
        <a:lstStyle/>
        <a:p>
          <a:endParaRPr lang="lv-LV" sz="1100">
            <a:latin typeface="Times New Roman" panose="02020603050405020304" pitchFamily="18" charset="0"/>
            <a:cs typeface="Times New Roman" panose="02020603050405020304" pitchFamily="18" charset="0"/>
          </a:endParaRPr>
        </a:p>
      </dgm:t>
    </dgm:pt>
    <dgm:pt modelId="{E96F920D-4334-4C5C-9168-2DC7AFB95A59}" type="sibTrans" cxnId="{08134EA6-D138-42EB-ADC9-C5A6B53EF609}">
      <dgm:prSet/>
      <dgm:spPr/>
      <dgm:t>
        <a:bodyPr/>
        <a:lstStyle/>
        <a:p>
          <a:endParaRPr lang="lv-LV" sz="1100">
            <a:latin typeface="Times New Roman" panose="02020603050405020304" pitchFamily="18" charset="0"/>
            <a:cs typeface="Times New Roman" panose="02020603050405020304" pitchFamily="18" charset="0"/>
          </a:endParaRPr>
        </a:p>
      </dgm:t>
    </dgm:pt>
    <dgm:pt modelId="{E50B6852-3156-4699-9C57-8E6B23533DF7}">
      <dgm:prSet phldrT="[Text]" custT="1"/>
      <dgm:spPr/>
      <dgm:t>
        <a:bodyPr/>
        <a:lstStyle/>
        <a:p>
          <a:r>
            <a:rPr lang="lv-LV" sz="1100">
              <a:latin typeface="Times New Roman" panose="02020603050405020304" pitchFamily="18" charset="0"/>
              <a:cs typeface="Times New Roman" panose="02020603050405020304" pitchFamily="18" charset="0"/>
            </a:rPr>
            <a:t>Zinātniskie raksti, kas publicēti starptautiskās datu bāzēs indeksētos žurnālos (Scopus, Web of Science)</a:t>
          </a:r>
        </a:p>
      </dgm:t>
    </dgm:pt>
    <dgm:pt modelId="{05638974-57BE-4A26-A50C-078B6F19A543}" type="parTrans" cxnId="{D3703DAC-2ACD-4D34-AAF3-02B91307E60C}">
      <dgm:prSet/>
      <dgm:spPr/>
      <dgm:t>
        <a:bodyPr/>
        <a:lstStyle/>
        <a:p>
          <a:endParaRPr lang="lv-LV" sz="1100">
            <a:latin typeface="Times New Roman" panose="02020603050405020304" pitchFamily="18" charset="0"/>
            <a:cs typeface="Times New Roman" panose="02020603050405020304" pitchFamily="18" charset="0"/>
          </a:endParaRPr>
        </a:p>
      </dgm:t>
    </dgm:pt>
    <dgm:pt modelId="{38E9AC07-A1AE-4453-9EE5-ADB981661C25}" type="sibTrans" cxnId="{D3703DAC-2ACD-4D34-AAF3-02B91307E60C}">
      <dgm:prSet/>
      <dgm:spPr/>
      <dgm:t>
        <a:bodyPr/>
        <a:lstStyle/>
        <a:p>
          <a:endParaRPr lang="lv-LV" sz="1100">
            <a:latin typeface="Times New Roman" panose="02020603050405020304" pitchFamily="18" charset="0"/>
            <a:cs typeface="Times New Roman" panose="02020603050405020304" pitchFamily="18" charset="0"/>
          </a:endParaRPr>
        </a:p>
      </dgm:t>
    </dgm:pt>
    <dgm:pt modelId="{FC899D8A-4D2E-4C84-9F05-CE444967AEA3}">
      <dgm:prSet phldrT="[Text]" custT="1"/>
      <dgm:spPr/>
      <dgm:t>
        <a:bodyPr/>
        <a:lstStyle/>
        <a:p>
          <a:r>
            <a:rPr lang="lv-LV" sz="1100">
              <a:latin typeface="Times New Roman" panose="02020603050405020304" pitchFamily="18" charset="0"/>
              <a:cs typeface="Times New Roman" panose="02020603050405020304" pitchFamily="18" charset="0"/>
            </a:rPr>
            <a:t>jaunu pētnieku skaits atbalstītajās vienībās (pilnas slodzes ekvivalents) (i.1.1.1.bk (CO24))</a:t>
          </a:r>
        </a:p>
      </dgm:t>
    </dgm:pt>
    <dgm:pt modelId="{2957144A-4404-4458-947B-5E07EFCED058}" type="parTrans" cxnId="{7361BB2C-D347-4CD1-ADFB-667387A9BB94}">
      <dgm:prSet/>
      <dgm:spPr/>
      <dgm:t>
        <a:bodyPr/>
        <a:lstStyle/>
        <a:p>
          <a:endParaRPr lang="lv-LV" sz="1100">
            <a:latin typeface="Times New Roman" panose="02020603050405020304" pitchFamily="18" charset="0"/>
            <a:cs typeface="Times New Roman" panose="02020603050405020304" pitchFamily="18" charset="0"/>
          </a:endParaRPr>
        </a:p>
      </dgm:t>
    </dgm:pt>
    <dgm:pt modelId="{65F88997-6087-41C9-91D9-032B66C34AB5}" type="sibTrans" cxnId="{7361BB2C-D347-4CD1-ADFB-667387A9BB94}">
      <dgm:prSet/>
      <dgm:spPr/>
      <dgm:t>
        <a:bodyPr/>
        <a:lstStyle/>
        <a:p>
          <a:endParaRPr lang="lv-LV" sz="1100">
            <a:latin typeface="Times New Roman" panose="02020603050405020304" pitchFamily="18" charset="0"/>
            <a:cs typeface="Times New Roman" panose="02020603050405020304" pitchFamily="18" charset="0"/>
          </a:endParaRPr>
        </a:p>
      </dgm:t>
    </dgm:pt>
    <dgm:pt modelId="{C492F6AA-67D6-4E85-85DB-06C6DF1E0151}">
      <dgm:prSet phldrT="[Text]" custT="1"/>
      <dgm:spPr/>
      <dgm:t>
        <a:bodyPr/>
        <a:lstStyle/>
        <a:p>
          <a:r>
            <a:rPr lang="lv-LV" sz="1000">
              <a:latin typeface="Times New Roman" panose="02020603050405020304" pitchFamily="18" charset="0"/>
              <a:cs typeface="Times New Roman" panose="02020603050405020304" pitchFamily="18" charset="0"/>
            </a:rPr>
            <a:t>zinātnisko rakstu skaits, kuru izstrādei un publicēšanai ir sniegts atbalsts (i.1.1.1.e), t.sk: </a:t>
          </a:r>
        </a:p>
      </dgm:t>
    </dgm:pt>
    <dgm:pt modelId="{606E5997-8B70-49C0-9E7B-C93D9CD4FFEA}" type="parTrans" cxnId="{481E5A33-093D-4084-8772-645DD43C5982}">
      <dgm:prSet/>
      <dgm:spPr/>
      <dgm:t>
        <a:bodyPr/>
        <a:lstStyle/>
        <a:p>
          <a:endParaRPr lang="lv-LV" sz="1100">
            <a:latin typeface="Times New Roman" panose="02020603050405020304" pitchFamily="18" charset="0"/>
            <a:cs typeface="Times New Roman" panose="02020603050405020304" pitchFamily="18" charset="0"/>
          </a:endParaRPr>
        </a:p>
      </dgm:t>
    </dgm:pt>
    <dgm:pt modelId="{B47BB37C-59AA-4E64-B074-9D9F5B3513D3}" type="sibTrans" cxnId="{481E5A33-093D-4084-8772-645DD43C5982}">
      <dgm:prSet/>
      <dgm:spPr/>
      <dgm:t>
        <a:bodyPr/>
        <a:lstStyle/>
        <a:p>
          <a:endParaRPr lang="lv-LV" sz="1100">
            <a:latin typeface="Times New Roman" panose="02020603050405020304" pitchFamily="18" charset="0"/>
            <a:cs typeface="Times New Roman" panose="02020603050405020304" pitchFamily="18" charset="0"/>
          </a:endParaRPr>
        </a:p>
      </dgm:t>
    </dgm:pt>
    <dgm:pt modelId="{BD3EEF94-6672-4B27-8A7A-4E42E038C9CE}">
      <dgm:prSet custT="1"/>
      <dgm:spPr/>
      <dgm:t>
        <a:bodyPr/>
        <a:lstStyle/>
        <a:p>
          <a:r>
            <a:rPr lang="lv-LV" sz="1000">
              <a:latin typeface="Times New Roman" panose="02020603050405020304" pitchFamily="18" charset="0"/>
              <a:cs typeface="Times New Roman" panose="02020603050405020304" pitchFamily="18" charset="0"/>
            </a:rPr>
            <a:t>publikācijas, kuru citēšanas indekss sasniedz vismaz 50 % no nozares vidējā citēšanas indeksa (PUD 1.1.1.a)</a:t>
          </a:r>
        </a:p>
      </dgm:t>
    </dgm:pt>
    <dgm:pt modelId="{DFAF9617-8326-4A0D-A2B6-22A2BDFC11BA}" type="parTrans" cxnId="{C7443AFD-4972-4AEC-B167-5C06EA49B71D}">
      <dgm:prSet/>
      <dgm:spPr/>
      <dgm:t>
        <a:bodyPr/>
        <a:lstStyle/>
        <a:p>
          <a:endParaRPr lang="lv-LV" sz="1100">
            <a:latin typeface="Times New Roman" panose="02020603050405020304" pitchFamily="18" charset="0"/>
            <a:cs typeface="Times New Roman" panose="02020603050405020304" pitchFamily="18" charset="0"/>
          </a:endParaRPr>
        </a:p>
      </dgm:t>
    </dgm:pt>
    <dgm:pt modelId="{84B8744E-F7EC-4D86-9DD8-5F5D3DF707A5}" type="sibTrans" cxnId="{C7443AFD-4972-4AEC-B167-5C06EA49B71D}">
      <dgm:prSet/>
      <dgm:spPr/>
      <dgm:t>
        <a:bodyPr/>
        <a:lstStyle/>
        <a:p>
          <a:endParaRPr lang="lv-LV" sz="1100">
            <a:latin typeface="Times New Roman" panose="02020603050405020304" pitchFamily="18" charset="0"/>
            <a:cs typeface="Times New Roman" panose="02020603050405020304" pitchFamily="18" charset="0"/>
          </a:endParaRPr>
        </a:p>
      </dgm:t>
    </dgm:pt>
    <dgm:pt modelId="{7BB67D91-5D17-4845-9679-80E9DFAD70BB}">
      <dgm:prSet phldrT="[Text]" custT="1"/>
      <dgm:spPr>
        <a:solidFill>
          <a:srgbClr val="CFB6B5">
            <a:alpha val="89804"/>
          </a:srgbClr>
        </a:solidFill>
      </dgm:spPr>
      <dgm:t>
        <a:bodyPr/>
        <a:lstStyle/>
        <a:p>
          <a:r>
            <a:rPr lang="lv-LV" sz="1100" b="1">
              <a:latin typeface="Times New Roman" panose="02020603050405020304" pitchFamily="18" charset="0"/>
              <a:cs typeface="Times New Roman" panose="02020603050405020304" pitchFamily="18" charset="0"/>
            </a:rPr>
            <a:t>SAM 1.1.1. pasākumu iznākuma rādītāji, kas tieši vērsti uz RIS3 mērķu sasniegšanu </a:t>
          </a:r>
        </a:p>
      </dgm:t>
    </dgm:pt>
    <dgm:pt modelId="{206A82DF-3D7A-4629-BDB9-CB41A6083932}" type="parTrans" cxnId="{2BC7D5D4-716A-465E-8D3C-2EDCBB22D2DB}">
      <dgm:prSet/>
      <dgm:spPr/>
      <dgm:t>
        <a:bodyPr/>
        <a:lstStyle/>
        <a:p>
          <a:endParaRPr lang="lv-LV">
            <a:latin typeface="Times New Roman" panose="02020603050405020304" pitchFamily="18" charset="0"/>
            <a:cs typeface="Times New Roman" panose="02020603050405020304" pitchFamily="18" charset="0"/>
          </a:endParaRPr>
        </a:p>
      </dgm:t>
    </dgm:pt>
    <dgm:pt modelId="{DD4A0943-A66D-4D30-972D-1D9A008EFB75}" type="sibTrans" cxnId="{2BC7D5D4-716A-465E-8D3C-2EDCBB22D2DB}">
      <dgm:prSet/>
      <dgm:spPr/>
      <dgm:t>
        <a:bodyPr/>
        <a:lstStyle/>
        <a:p>
          <a:endParaRPr lang="lv-LV">
            <a:latin typeface="Times New Roman" panose="02020603050405020304" pitchFamily="18" charset="0"/>
            <a:cs typeface="Times New Roman" panose="02020603050405020304" pitchFamily="18" charset="0"/>
          </a:endParaRPr>
        </a:p>
      </dgm:t>
    </dgm:pt>
    <dgm:pt modelId="{1E979BCB-7FF8-4E5D-84ED-73B269B1FE51}">
      <dgm:prSet phldrT="[Text]" custT="1"/>
      <dgm:spPr/>
      <dgm:t>
        <a:bodyPr/>
        <a:lstStyle/>
        <a:p>
          <a:pPr marL="115200" indent="-115200">
            <a:lnSpc>
              <a:spcPct val="90000"/>
            </a:lnSpc>
            <a:spcAft>
              <a:spcPts val="216"/>
            </a:spcAft>
          </a:pPr>
          <a:r>
            <a:rPr lang="lv-LV" sz="1100">
              <a:latin typeface="Times New Roman" panose="02020603050405020304" pitchFamily="18" charset="0"/>
              <a:cs typeface="Times New Roman" panose="02020603050405020304" pitchFamily="18" charset="0"/>
            </a:rPr>
            <a:t>komersantu skaits, kuri sadarbojas ar pētniecības organizāciju (i.1.1.1.ck (CO26))</a:t>
          </a:r>
        </a:p>
      </dgm:t>
    </dgm:pt>
    <dgm:pt modelId="{984048FF-11C5-46CD-9924-AD3FAF577543}" type="parTrans" cxnId="{7160E417-5AE0-485C-B323-90FFCC157F9D}">
      <dgm:prSet/>
      <dgm:spPr/>
      <dgm:t>
        <a:bodyPr/>
        <a:lstStyle/>
        <a:p>
          <a:endParaRPr lang="lv-LV"/>
        </a:p>
      </dgm:t>
    </dgm:pt>
    <dgm:pt modelId="{37089A0F-968E-4AC2-A56B-5D3A5A140369}" type="sibTrans" cxnId="{7160E417-5AE0-485C-B323-90FFCC157F9D}">
      <dgm:prSet/>
      <dgm:spPr/>
      <dgm:t>
        <a:bodyPr/>
        <a:lstStyle/>
        <a:p>
          <a:endParaRPr lang="lv-LV"/>
        </a:p>
      </dgm:t>
    </dgm:pt>
    <dgm:pt modelId="{260B2187-77C4-4A6C-887B-E61A6F615059}">
      <dgm:prSet phldrT="[Text]" custT="1"/>
      <dgm:spPr>
        <a:solidFill>
          <a:srgbClr val="80261A"/>
        </a:solidFill>
      </dgm:spPr>
      <dgm:t>
        <a:bodyPr/>
        <a:lstStyle/>
        <a:p>
          <a:r>
            <a:rPr lang="lv-LV" sz="1100" b="1">
              <a:latin typeface="Times New Roman" panose="02020603050405020304" pitchFamily="18" charset="0"/>
              <a:cs typeface="Times New Roman" panose="02020603050405020304" pitchFamily="18" charset="0"/>
            </a:rPr>
            <a:t>RIS3 mikro līmeņa rādītāji</a:t>
          </a:r>
        </a:p>
      </dgm:t>
    </dgm:pt>
    <dgm:pt modelId="{14190C60-F595-4F61-B470-DD954E792B59}" type="sibTrans" cxnId="{C6F928F4-E7B3-4F05-8FE9-4186D53DB29B}">
      <dgm:prSet/>
      <dgm:spPr/>
      <dgm:t>
        <a:bodyPr/>
        <a:lstStyle/>
        <a:p>
          <a:endParaRPr lang="lv-LV">
            <a:latin typeface="Times New Roman" panose="02020603050405020304" pitchFamily="18" charset="0"/>
            <a:cs typeface="Times New Roman" panose="02020603050405020304" pitchFamily="18" charset="0"/>
          </a:endParaRPr>
        </a:p>
      </dgm:t>
    </dgm:pt>
    <dgm:pt modelId="{90A17255-904C-4B72-A590-73A19DF276C8}" type="parTrans" cxnId="{C6F928F4-E7B3-4F05-8FE9-4186D53DB29B}">
      <dgm:prSet/>
      <dgm:spPr/>
      <dgm:t>
        <a:bodyPr/>
        <a:lstStyle/>
        <a:p>
          <a:endParaRPr lang="lv-LV">
            <a:latin typeface="Times New Roman" panose="02020603050405020304" pitchFamily="18" charset="0"/>
            <a:cs typeface="Times New Roman" panose="02020603050405020304" pitchFamily="18" charset="0"/>
          </a:endParaRPr>
        </a:p>
      </dgm:t>
    </dgm:pt>
    <dgm:pt modelId="{B225117A-0557-4A81-A987-5BCCAD24DC73}" type="pres">
      <dgm:prSet presAssocID="{DB18A639-ACA6-49F8-B6B4-A7F3DC672523}" presName="Name0" presStyleCnt="0">
        <dgm:presLayoutVars>
          <dgm:dir val="norm"/>
          <dgm:animLvl val="lvl"/>
          <dgm:resizeHandles val="exact"/>
        </dgm:presLayoutVars>
      </dgm:prSet>
      <dgm:spPr/>
      <dgm:t>
        <a:bodyPr/>
        <a:lstStyle/>
        <a:p>
          <a:endParaRPr lang="lv-LV"/>
        </a:p>
      </dgm:t>
    </dgm:pt>
    <dgm:pt modelId="{479E0667-2B4E-4F51-BEF3-824CECF07F14}" type="pres">
      <dgm:prSet presAssocID="{260B2187-77C4-4A6C-887B-E61A6F615059}" presName="linNode" presStyleCnt="0"/>
      <dgm:spPr/>
      <dgm:t>
        <a:bodyPr/>
        <a:lstStyle/>
        <a:p>
          <a:endParaRPr lang="lv-LV"/>
        </a:p>
      </dgm:t>
    </dgm:pt>
    <dgm:pt modelId="{2C7383BB-71C1-4AEA-84E3-5F2FFC892280}" type="pres">
      <dgm:prSet presAssocID="{260B2187-77C4-4A6C-887B-E61A6F615059}" presName="parentText" presStyleLbl="node1" presStyleIdx="0" presStyleCnt="6">
        <dgm:presLayoutVars>
          <dgm:chMax val="1"/>
          <dgm:bulletEnabled val="1"/>
        </dgm:presLayoutVars>
      </dgm:prSet>
      <dgm:spPr/>
      <dgm:t>
        <a:bodyPr/>
        <a:lstStyle/>
        <a:p>
          <a:endParaRPr lang="lv-LV"/>
        </a:p>
      </dgm:t>
    </dgm:pt>
    <dgm:pt modelId="{37CB64AB-55B6-41C1-8980-52C7C9569A7B}" type="pres">
      <dgm:prSet presAssocID="{260B2187-77C4-4A6C-887B-E61A6F615059}" presName="descendantText" presStyleLbl="alignAccFollowNode1" presStyleIdx="0" presStyleCnt="6">
        <dgm:presLayoutVars>
          <dgm:bulletEnabled val="1"/>
        </dgm:presLayoutVars>
      </dgm:prSet>
      <dgm:spPr/>
      <dgm:t>
        <a:bodyPr/>
        <a:lstStyle/>
        <a:p>
          <a:endParaRPr lang="lv-LV"/>
        </a:p>
      </dgm:t>
    </dgm:pt>
    <dgm:pt modelId="{CDCC47FC-C99B-4804-8D18-709CB9573168}" type="pres">
      <dgm:prSet presAssocID="{14190C60-F595-4F61-B470-DD954E792B59}" presName="sp" presStyleCnt="0"/>
      <dgm:spPr/>
      <dgm:t>
        <a:bodyPr/>
        <a:lstStyle/>
        <a:p>
          <a:endParaRPr lang="lv-LV"/>
        </a:p>
      </dgm:t>
    </dgm:pt>
    <dgm:pt modelId="{3C001746-B883-4C96-9D3B-7D8B5FB4549B}" type="pres">
      <dgm:prSet presAssocID="{2630D2AD-F462-4A7D-AAB2-2044B7773D27}" presName="linNode" presStyleCnt="0"/>
      <dgm:spPr/>
      <dgm:t>
        <a:bodyPr/>
        <a:lstStyle/>
        <a:p>
          <a:endParaRPr lang="lv-LV"/>
        </a:p>
      </dgm:t>
    </dgm:pt>
    <dgm:pt modelId="{83547C08-A859-4EC9-808C-D27D5C9D899F}" type="pres">
      <dgm:prSet presAssocID="{2630D2AD-F462-4A7D-AAB2-2044B7773D27}" presName="parentText" presStyleLbl="node1" presStyleIdx="1" presStyleCnt="6">
        <dgm:presLayoutVars>
          <dgm:chMax val="1"/>
          <dgm:bulletEnabled val="1"/>
        </dgm:presLayoutVars>
      </dgm:prSet>
      <dgm:spPr/>
      <dgm:t>
        <a:bodyPr/>
        <a:lstStyle/>
        <a:p>
          <a:endParaRPr lang="lv-LV"/>
        </a:p>
      </dgm:t>
    </dgm:pt>
    <dgm:pt modelId="{60F321AF-12C7-4E07-AB00-9B7AEA286EA6}" type="pres">
      <dgm:prSet presAssocID="{2630D2AD-F462-4A7D-AAB2-2044B7773D27}" presName="descendantText" presStyleLbl="alignAccFollowNode1" presStyleIdx="1" presStyleCnt="6">
        <dgm:presLayoutVars>
          <dgm:bulletEnabled val="1"/>
        </dgm:presLayoutVars>
      </dgm:prSet>
      <dgm:spPr/>
      <dgm:t>
        <a:bodyPr/>
        <a:lstStyle/>
        <a:p>
          <a:endParaRPr lang="lv-LV"/>
        </a:p>
      </dgm:t>
    </dgm:pt>
    <dgm:pt modelId="{61FFA005-6671-448C-8326-1240680E90B1}" type="pres">
      <dgm:prSet presAssocID="{708CD739-B8E0-4D6F-B497-EB60B743CF40}" presName="sp" presStyleCnt="0"/>
      <dgm:spPr/>
      <dgm:t>
        <a:bodyPr/>
        <a:lstStyle/>
        <a:p>
          <a:endParaRPr lang="lv-LV"/>
        </a:p>
      </dgm:t>
    </dgm:pt>
    <dgm:pt modelId="{A80B5A1C-A6EF-419C-8A01-134C89AAAD4E}" type="pres">
      <dgm:prSet presAssocID="{39D9AF05-8E38-48FB-9B9D-743F06B79A65}" presName="linNode" presStyleCnt="0"/>
      <dgm:spPr/>
      <dgm:t>
        <a:bodyPr/>
        <a:lstStyle/>
        <a:p>
          <a:endParaRPr lang="lv-LV"/>
        </a:p>
      </dgm:t>
    </dgm:pt>
    <dgm:pt modelId="{325C33B5-0818-4E76-B409-CE9C4CA09E8D}" type="pres">
      <dgm:prSet presAssocID="{39D9AF05-8E38-48FB-9B9D-743F06B79A65}" presName="parentText" presStyleLbl="node1" presStyleIdx="2" presStyleCnt="6">
        <dgm:presLayoutVars>
          <dgm:chMax val="1"/>
          <dgm:bulletEnabled val="1"/>
        </dgm:presLayoutVars>
      </dgm:prSet>
      <dgm:spPr/>
      <dgm:t>
        <a:bodyPr/>
        <a:lstStyle/>
        <a:p>
          <a:endParaRPr lang="lv-LV"/>
        </a:p>
      </dgm:t>
    </dgm:pt>
    <dgm:pt modelId="{2A1E6FC5-D110-4526-A435-017209A887DE}" type="pres">
      <dgm:prSet presAssocID="{39D9AF05-8E38-48FB-9B9D-743F06B79A65}" presName="descendantText" presStyleLbl="alignAccFollowNode1" presStyleIdx="2" presStyleCnt="6">
        <dgm:presLayoutVars>
          <dgm:bulletEnabled val="1"/>
        </dgm:presLayoutVars>
      </dgm:prSet>
      <dgm:spPr/>
      <dgm:t>
        <a:bodyPr/>
        <a:lstStyle/>
        <a:p>
          <a:endParaRPr lang="lv-LV"/>
        </a:p>
      </dgm:t>
    </dgm:pt>
    <dgm:pt modelId="{D09351DB-5148-41B8-A365-E87ACC275486}" type="pres">
      <dgm:prSet presAssocID="{529A4979-9FED-4F00-9021-D1B57B77122E}" presName="sp" presStyleCnt="0"/>
      <dgm:spPr/>
      <dgm:t>
        <a:bodyPr/>
        <a:lstStyle/>
        <a:p>
          <a:endParaRPr lang="lv-LV"/>
        </a:p>
      </dgm:t>
    </dgm:pt>
    <dgm:pt modelId="{99E3DF77-CFDC-4DE6-A4C1-45B5E18821FE}" type="pres">
      <dgm:prSet presAssocID="{52690AF1-CF1A-46AE-A81A-1A24A0FD87B2}" presName="linNode" presStyleCnt="0"/>
      <dgm:spPr/>
      <dgm:t>
        <a:bodyPr/>
        <a:lstStyle/>
        <a:p>
          <a:endParaRPr lang="lv-LV"/>
        </a:p>
      </dgm:t>
    </dgm:pt>
    <dgm:pt modelId="{17E3C526-5AF5-49E0-81BB-6D5F0365F993}" type="pres">
      <dgm:prSet presAssocID="{52690AF1-CF1A-46AE-A81A-1A24A0FD87B2}" presName="parentText" presStyleLbl="node1" presStyleIdx="3" presStyleCnt="6">
        <dgm:presLayoutVars>
          <dgm:chMax val="1"/>
          <dgm:bulletEnabled val="1"/>
        </dgm:presLayoutVars>
      </dgm:prSet>
      <dgm:spPr/>
      <dgm:t>
        <a:bodyPr/>
        <a:lstStyle/>
        <a:p>
          <a:endParaRPr lang="lv-LV"/>
        </a:p>
      </dgm:t>
    </dgm:pt>
    <dgm:pt modelId="{9592E412-E237-415E-ADB2-806052C3C96D}" type="pres">
      <dgm:prSet presAssocID="{52690AF1-CF1A-46AE-A81A-1A24A0FD87B2}" presName="descendantText" presStyleLbl="alignAccFollowNode1" presStyleIdx="3" presStyleCnt="6">
        <dgm:presLayoutVars>
          <dgm:bulletEnabled val="1"/>
        </dgm:presLayoutVars>
      </dgm:prSet>
      <dgm:spPr/>
      <dgm:t>
        <a:bodyPr/>
        <a:lstStyle/>
        <a:p>
          <a:endParaRPr lang="lv-LV"/>
        </a:p>
      </dgm:t>
    </dgm:pt>
    <dgm:pt modelId="{A73CDB09-319C-4D34-B70D-8E0A24EF4E7F}" type="pres">
      <dgm:prSet presAssocID="{96F35E27-475C-41A1-8316-18A22D21A3E2}" presName="sp" presStyleCnt="0"/>
      <dgm:spPr/>
      <dgm:t>
        <a:bodyPr/>
        <a:lstStyle/>
        <a:p>
          <a:endParaRPr lang="lv-LV"/>
        </a:p>
      </dgm:t>
    </dgm:pt>
    <dgm:pt modelId="{358BF1B7-DD95-4F5A-A92B-FF528CDE7491}" type="pres">
      <dgm:prSet presAssocID="{4BB7A773-2086-4C19-97D4-D1D7923687D2}" presName="linNode" presStyleCnt="0"/>
      <dgm:spPr/>
      <dgm:t>
        <a:bodyPr/>
        <a:lstStyle/>
        <a:p>
          <a:endParaRPr lang="lv-LV"/>
        </a:p>
      </dgm:t>
    </dgm:pt>
    <dgm:pt modelId="{04977FAE-01E5-4543-92E2-CBF4D17B6F8E}" type="pres">
      <dgm:prSet presAssocID="{4BB7A773-2086-4C19-97D4-D1D7923687D2}" presName="parentText" presStyleLbl="node1" presStyleIdx="4" presStyleCnt="6">
        <dgm:presLayoutVars>
          <dgm:chMax val="1"/>
          <dgm:bulletEnabled val="1"/>
        </dgm:presLayoutVars>
      </dgm:prSet>
      <dgm:spPr/>
      <dgm:t>
        <a:bodyPr/>
        <a:lstStyle/>
        <a:p>
          <a:endParaRPr lang="lv-LV"/>
        </a:p>
      </dgm:t>
    </dgm:pt>
    <dgm:pt modelId="{B5E87EB5-AF62-4AB5-B8F0-6AFF489052F5}" type="pres">
      <dgm:prSet presAssocID="{4BB7A773-2086-4C19-97D4-D1D7923687D2}" presName="descendantText" presStyleLbl="alignAccFollowNode1" presStyleIdx="4" presStyleCnt="6">
        <dgm:presLayoutVars>
          <dgm:bulletEnabled val="1"/>
        </dgm:presLayoutVars>
      </dgm:prSet>
      <dgm:spPr/>
      <dgm:t>
        <a:bodyPr/>
        <a:lstStyle/>
        <a:p>
          <a:endParaRPr lang="lv-LV"/>
        </a:p>
      </dgm:t>
    </dgm:pt>
    <dgm:pt modelId="{9502848C-E671-48C9-A90C-394F456E3B8B}" type="pres">
      <dgm:prSet presAssocID="{94F739BD-3FE6-4D4E-B6C0-E39B8DBC68D1}" presName="sp" presStyleCnt="0"/>
      <dgm:spPr/>
      <dgm:t>
        <a:bodyPr/>
        <a:lstStyle/>
        <a:p>
          <a:endParaRPr lang="lv-LV"/>
        </a:p>
      </dgm:t>
    </dgm:pt>
    <dgm:pt modelId="{02F5AC05-6217-4856-9E3D-2FD36BA7E36D}" type="pres">
      <dgm:prSet presAssocID="{E50B6852-3156-4699-9C57-8E6B23533DF7}" presName="linNode" presStyleCnt="0"/>
      <dgm:spPr/>
      <dgm:t>
        <a:bodyPr/>
        <a:lstStyle/>
        <a:p>
          <a:endParaRPr lang="lv-LV"/>
        </a:p>
      </dgm:t>
    </dgm:pt>
    <dgm:pt modelId="{B6447456-63D1-4A35-B560-7F385CD4FC8E}" type="pres">
      <dgm:prSet presAssocID="{E50B6852-3156-4699-9C57-8E6B23533DF7}" presName="parentText" presStyleLbl="node1" presStyleIdx="5" presStyleCnt="6">
        <dgm:presLayoutVars>
          <dgm:chMax val="1"/>
          <dgm:bulletEnabled val="1"/>
        </dgm:presLayoutVars>
      </dgm:prSet>
      <dgm:spPr/>
      <dgm:t>
        <a:bodyPr/>
        <a:lstStyle/>
        <a:p>
          <a:endParaRPr lang="lv-LV"/>
        </a:p>
      </dgm:t>
    </dgm:pt>
    <dgm:pt modelId="{8478F59F-45A7-4976-A7EA-F7ED67767172}" type="pres">
      <dgm:prSet presAssocID="{E50B6852-3156-4699-9C57-8E6B23533DF7}" presName="descendantText" presStyleLbl="alignAccFollowNode1" presStyleIdx="5" presStyleCnt="6" custScaleY="114133">
        <dgm:presLayoutVars>
          <dgm:bulletEnabled val="1"/>
        </dgm:presLayoutVars>
      </dgm:prSet>
      <dgm:spPr/>
      <dgm:t>
        <a:bodyPr/>
        <a:lstStyle/>
        <a:p>
          <a:endParaRPr lang="lv-LV"/>
        </a:p>
      </dgm:t>
    </dgm:pt>
  </dgm:ptLst>
  <dgm:cxnLst>
    <dgm:cxn modelId="{E218D5FB-28F1-42FB-B8A9-9D63A4F4B66C}" type="presOf" srcId="{C403270B-55E2-4D0C-92BC-C7E5EB1DA099}" destId="{9592E412-E237-415E-ADB2-806052C3C96D}" srcOrd="0" destOrd="1" presId="urn:microsoft.com/office/officeart/2005/8/layout/vList5"/>
    <dgm:cxn modelId="{D580937E-A508-4FC4-8446-3BC9F282F986}" srcId="{DB18A639-ACA6-49F8-B6B4-A7F3DC672523}" destId="{2630D2AD-F462-4A7D-AAB2-2044B7773D27}" srcOrd="1" destOrd="0" parTransId="{B51F21DE-8568-4AF4-B4C4-57ED5522938B}" sibTransId="{708CD739-B8E0-4D6F-B497-EB60B743CF40}"/>
    <dgm:cxn modelId="{A140F113-D53E-477C-ACD5-24A930459A35}" type="presOf" srcId="{DB18A639-ACA6-49F8-B6B4-A7F3DC672523}" destId="{B225117A-0557-4A81-A987-5BCCAD24DC73}" srcOrd="0" destOrd="0" presId="urn:microsoft.com/office/officeart/2005/8/layout/vList5"/>
    <dgm:cxn modelId="{3D30074E-A29C-462E-9105-F27C5887641B}" type="presOf" srcId="{260B2187-77C4-4A6C-887B-E61A6F615059}" destId="{2C7383BB-71C1-4AEA-84E3-5F2FFC892280}" srcOrd="0" destOrd="0" presId="urn:microsoft.com/office/officeart/2005/8/layout/vList5"/>
    <dgm:cxn modelId="{30DAE9C6-6C3F-4BB1-B250-CE414D6607DA}" type="presOf" srcId="{4BB7A773-2086-4C19-97D4-D1D7923687D2}" destId="{04977FAE-01E5-4543-92E2-CBF4D17B6F8E}" srcOrd="0" destOrd="0" presId="urn:microsoft.com/office/officeart/2005/8/layout/vList5"/>
    <dgm:cxn modelId="{D3703DAC-2ACD-4D34-AAF3-02B91307E60C}" srcId="{DB18A639-ACA6-49F8-B6B4-A7F3DC672523}" destId="{E50B6852-3156-4699-9C57-8E6B23533DF7}" srcOrd="5" destOrd="0" parTransId="{05638974-57BE-4A26-A50C-078B6F19A543}" sibTransId="{38E9AC07-A1AE-4453-9EE5-ADB981661C25}"/>
    <dgm:cxn modelId="{08134EA6-D138-42EB-ADC9-C5A6B53EF609}" srcId="{52690AF1-CF1A-46AE-A81A-1A24A0FD87B2}" destId="{C403270B-55E2-4D0C-92BC-C7E5EB1DA099}" srcOrd="1" destOrd="0" parTransId="{A6AC58E0-F2F1-45FA-9FB3-2FF826842329}" sibTransId="{E96F920D-4334-4C5C-9168-2DC7AFB95A59}"/>
    <dgm:cxn modelId="{2FFDAB1C-7F50-4590-B5CB-8AD37C8D95DB}" type="presOf" srcId="{E50B6852-3156-4699-9C57-8E6B23533DF7}" destId="{B6447456-63D1-4A35-B560-7F385CD4FC8E}" srcOrd="0" destOrd="0" presId="urn:microsoft.com/office/officeart/2005/8/layout/vList5"/>
    <dgm:cxn modelId="{5055F292-C346-4AEB-8757-E6B849CB0CFB}" type="presOf" srcId="{7BB67D91-5D17-4845-9679-80E9DFAD70BB}" destId="{37CB64AB-55B6-41C1-8980-52C7C9569A7B}" srcOrd="0" destOrd="0" presId="urn:microsoft.com/office/officeart/2005/8/layout/vList5"/>
    <dgm:cxn modelId="{8E02EB8F-8BB9-4A82-996C-805E4B7D4424}" type="presOf" srcId="{5B6EED73-9AD5-426A-9ADE-E7A337B14733}" destId="{60F321AF-12C7-4E07-AB00-9B7AEA286EA6}" srcOrd="0" destOrd="1" presId="urn:microsoft.com/office/officeart/2005/8/layout/vList5"/>
    <dgm:cxn modelId="{964410B7-D27B-4396-B25F-0F509958452C}" srcId="{39D9AF05-8E38-48FB-9B9D-743F06B79A65}" destId="{6A1D79E4-D9A9-418A-A383-7684C0DD7E6D}" srcOrd="0" destOrd="0" parTransId="{53203C82-4BB9-4086-ABE5-F36BF3091960}" sibTransId="{DA080517-53ED-4889-9213-F5DA1ABF67D9}"/>
    <dgm:cxn modelId="{D491C9E9-3014-45AC-9500-8DC39B2147A0}" type="presOf" srcId="{C492F6AA-67D6-4E85-85DB-06C6DF1E0151}" destId="{8478F59F-45A7-4976-A7EA-F7ED67767172}" srcOrd="0" destOrd="0" presId="urn:microsoft.com/office/officeart/2005/8/layout/vList5"/>
    <dgm:cxn modelId="{0EFB8BC1-46FD-4B81-BC87-5CFDA27820B3}" type="presOf" srcId="{52690AF1-CF1A-46AE-A81A-1A24A0FD87B2}" destId="{17E3C526-5AF5-49E0-81BB-6D5F0365F993}" srcOrd="0" destOrd="0" presId="urn:microsoft.com/office/officeart/2005/8/layout/vList5"/>
    <dgm:cxn modelId="{7361BB2C-D347-4CD1-ADFB-667387A9BB94}" srcId="{4BB7A773-2086-4C19-97D4-D1D7923687D2}" destId="{FC899D8A-4D2E-4C84-9F05-CE444967AEA3}" srcOrd="0" destOrd="0" parTransId="{2957144A-4404-4458-947B-5E07EFCED058}" sibTransId="{65F88997-6087-41C9-91D9-032B66C34AB5}"/>
    <dgm:cxn modelId="{C6F928F4-E7B3-4F05-8FE9-4186D53DB29B}" srcId="{DB18A639-ACA6-49F8-B6B4-A7F3DC672523}" destId="{260B2187-77C4-4A6C-887B-E61A6F615059}" srcOrd="0" destOrd="0" parTransId="{90A17255-904C-4B72-A590-73A19DF276C8}" sibTransId="{14190C60-F595-4F61-B470-DD954E792B59}"/>
    <dgm:cxn modelId="{D340879B-4F98-450E-BA8B-BAC3973EED42}" srcId="{DB18A639-ACA6-49F8-B6B4-A7F3DC672523}" destId="{4BB7A773-2086-4C19-97D4-D1D7923687D2}" srcOrd="4" destOrd="0" parTransId="{CB307E43-6E18-43BD-992C-A8ABF6870084}" sibTransId="{94F739BD-3FE6-4D4E-B6C0-E39B8DBC68D1}"/>
    <dgm:cxn modelId="{3E7B165A-C82D-4CF6-B4A8-5686062E5C22}" srcId="{DB18A639-ACA6-49F8-B6B4-A7F3DC672523}" destId="{39D9AF05-8E38-48FB-9B9D-743F06B79A65}" srcOrd="2" destOrd="0" parTransId="{031B4744-86E0-48CC-867C-9D2ACB0A793F}" sibTransId="{529A4979-9FED-4F00-9021-D1B57B77122E}"/>
    <dgm:cxn modelId="{481E5A33-093D-4084-8772-645DD43C5982}" srcId="{E50B6852-3156-4699-9C57-8E6B23533DF7}" destId="{C492F6AA-67D6-4E85-85DB-06C6DF1E0151}" srcOrd="0" destOrd="0" parTransId="{606E5997-8B70-49C0-9E7B-C93D9CD4FFEA}" sibTransId="{B47BB37C-59AA-4E64-B074-9D9F5B3513D3}"/>
    <dgm:cxn modelId="{C7443AFD-4972-4AEC-B167-5C06EA49B71D}" srcId="{E50B6852-3156-4699-9C57-8E6B23533DF7}" destId="{BD3EEF94-6672-4B27-8A7A-4E42E038C9CE}" srcOrd="1" destOrd="0" parTransId="{DFAF9617-8326-4A0D-A2B6-22A2BDFC11BA}" sibTransId="{84B8744E-F7EC-4D86-9DD8-5F5D3DF707A5}"/>
    <dgm:cxn modelId="{53592B67-3A99-47EF-8D86-422CD6984C54}" srcId="{52690AF1-CF1A-46AE-A81A-1A24A0FD87B2}" destId="{3DF138B8-077E-4AFC-80CD-D94DB2186C66}" srcOrd="0" destOrd="0" parTransId="{DAC2CB78-E176-4621-B585-235695C73DE9}" sibTransId="{F16F69BA-7D74-41C7-8738-C3FDF9F93425}"/>
    <dgm:cxn modelId="{1A691797-9976-4815-8596-728659A7D01D}" srcId="{DB18A639-ACA6-49F8-B6B4-A7F3DC672523}" destId="{52690AF1-CF1A-46AE-A81A-1A24A0FD87B2}" srcOrd="3" destOrd="0" parTransId="{810C9571-A9AF-42C8-BA38-5AD0FBBD03CC}" sibTransId="{96F35E27-475C-41A1-8316-18A22D21A3E2}"/>
    <dgm:cxn modelId="{2BC7D5D4-716A-465E-8D3C-2EDCBB22D2DB}" srcId="{260B2187-77C4-4A6C-887B-E61A6F615059}" destId="{7BB67D91-5D17-4845-9679-80E9DFAD70BB}" srcOrd="0" destOrd="0" parTransId="{206A82DF-3D7A-4629-BDB9-CB41A6083932}" sibTransId="{DD4A0943-A66D-4D30-972D-1D9A008EFB75}"/>
    <dgm:cxn modelId="{39884674-2BC6-400B-B54E-845A46DE6FCA}" srcId="{2630D2AD-F462-4A7D-AAB2-2044B7773D27}" destId="{5B6EED73-9AD5-426A-9ADE-E7A337B14733}" srcOrd="1" destOrd="0" parTransId="{A82B294F-FE92-4EA3-AF1D-1C96CF587C54}" sibTransId="{50871328-4BD6-4286-8ECC-9D3A1047C033}"/>
    <dgm:cxn modelId="{22C6E3B8-2D64-4FF8-A1AF-725C05CE2EE4}" type="presOf" srcId="{6A1D79E4-D9A9-418A-A383-7684C0DD7E6D}" destId="{2A1E6FC5-D110-4526-A435-017209A887DE}" srcOrd="0" destOrd="0" presId="urn:microsoft.com/office/officeart/2005/8/layout/vList5"/>
    <dgm:cxn modelId="{B4A9CE93-0E8A-4D4B-8A3C-EC5CAC11BCD0}" type="presOf" srcId="{3DF138B8-077E-4AFC-80CD-D94DB2186C66}" destId="{9592E412-E237-415E-ADB2-806052C3C96D}" srcOrd="0" destOrd="0" presId="urn:microsoft.com/office/officeart/2005/8/layout/vList5"/>
    <dgm:cxn modelId="{7160E417-5AE0-485C-B323-90FFCC157F9D}" srcId="{39D9AF05-8E38-48FB-9B9D-743F06B79A65}" destId="{1E979BCB-7FF8-4E5D-84ED-73B269B1FE51}" srcOrd="1" destOrd="0" parTransId="{984048FF-11C5-46CD-9924-AD3FAF577543}" sibTransId="{37089A0F-968E-4AC2-A56B-5D3A5A140369}"/>
    <dgm:cxn modelId="{573E52FC-3F47-489C-9683-7768CCD236BC}" type="presOf" srcId="{39D9AF05-8E38-48FB-9B9D-743F06B79A65}" destId="{325C33B5-0818-4E76-B409-CE9C4CA09E8D}" srcOrd="0" destOrd="0" presId="urn:microsoft.com/office/officeart/2005/8/layout/vList5"/>
    <dgm:cxn modelId="{D049886E-E9A9-4A22-9CA4-CD0ED9BE1407}" type="presOf" srcId="{1E979BCB-7FF8-4E5D-84ED-73B269B1FE51}" destId="{2A1E6FC5-D110-4526-A435-017209A887DE}" srcOrd="0" destOrd="1" presId="urn:microsoft.com/office/officeart/2005/8/layout/vList5"/>
    <dgm:cxn modelId="{59719C38-B0C7-4868-974F-BA3F52D28681}" type="presOf" srcId="{FC899D8A-4D2E-4C84-9F05-CE444967AEA3}" destId="{B5E87EB5-AF62-4AB5-B8F0-6AFF489052F5}" srcOrd="0" destOrd="0" presId="urn:microsoft.com/office/officeart/2005/8/layout/vList5"/>
    <dgm:cxn modelId="{EFA82B60-F59F-43E9-A719-721551356FD2}" srcId="{2630D2AD-F462-4A7D-AAB2-2044B7773D27}" destId="{A17408DC-B13C-4224-BB93-4E039F119259}" srcOrd="0" destOrd="0" parTransId="{861C1BF6-8FFF-45DC-831A-DEBCBCB8EBCB}" sibTransId="{FCD20E93-E853-43C4-A21A-0C1EDD59A029}"/>
    <dgm:cxn modelId="{002E85D9-48EE-460D-AC1B-5D895ED2632A}" type="presOf" srcId="{BD3EEF94-6672-4B27-8A7A-4E42E038C9CE}" destId="{8478F59F-45A7-4976-A7EA-F7ED67767172}" srcOrd="0" destOrd="1" presId="urn:microsoft.com/office/officeart/2005/8/layout/vList5"/>
    <dgm:cxn modelId="{7DEC931B-65C8-4D87-A281-6687E333416C}" type="presOf" srcId="{A17408DC-B13C-4224-BB93-4E039F119259}" destId="{60F321AF-12C7-4E07-AB00-9B7AEA286EA6}" srcOrd="0" destOrd="0" presId="urn:microsoft.com/office/officeart/2005/8/layout/vList5"/>
    <dgm:cxn modelId="{257E9773-7578-4C82-947A-8EB8746E680D}" type="presOf" srcId="{2630D2AD-F462-4A7D-AAB2-2044B7773D27}" destId="{83547C08-A859-4EC9-808C-D27D5C9D899F}" srcOrd="0" destOrd="0" presId="urn:microsoft.com/office/officeart/2005/8/layout/vList5"/>
    <dgm:cxn modelId="{EFD297E8-E87A-4CAF-8B37-BFFCDFB661B7}" type="presParOf" srcId="{B225117A-0557-4A81-A987-5BCCAD24DC73}" destId="{479E0667-2B4E-4F51-BEF3-824CECF07F14}" srcOrd="0" destOrd="0" presId="urn:microsoft.com/office/officeart/2005/8/layout/vList5"/>
    <dgm:cxn modelId="{7C8C1F57-35AD-4CB7-8B23-8BF40DC143DC}" type="presParOf" srcId="{479E0667-2B4E-4F51-BEF3-824CECF07F14}" destId="{2C7383BB-71C1-4AEA-84E3-5F2FFC892280}" srcOrd="0" destOrd="0" presId="urn:microsoft.com/office/officeart/2005/8/layout/vList5"/>
    <dgm:cxn modelId="{CB8F7470-1B80-4F87-B075-45B9715024AC}" type="presParOf" srcId="{479E0667-2B4E-4F51-BEF3-824CECF07F14}" destId="{37CB64AB-55B6-41C1-8980-52C7C9569A7B}" srcOrd="1" destOrd="0" presId="urn:microsoft.com/office/officeart/2005/8/layout/vList5"/>
    <dgm:cxn modelId="{8ACE3FEE-B18F-4777-8822-4070D61D083C}" type="presParOf" srcId="{B225117A-0557-4A81-A987-5BCCAD24DC73}" destId="{CDCC47FC-C99B-4804-8D18-709CB9573168}" srcOrd="1" destOrd="0" presId="urn:microsoft.com/office/officeart/2005/8/layout/vList5"/>
    <dgm:cxn modelId="{281E1ADA-36A4-4A2B-8014-A345651B36B7}" type="presParOf" srcId="{B225117A-0557-4A81-A987-5BCCAD24DC73}" destId="{3C001746-B883-4C96-9D3B-7D8B5FB4549B}" srcOrd="2" destOrd="0" presId="urn:microsoft.com/office/officeart/2005/8/layout/vList5"/>
    <dgm:cxn modelId="{D13960E2-E2C3-45FD-8433-8B20C5AA0159}" type="presParOf" srcId="{3C001746-B883-4C96-9D3B-7D8B5FB4549B}" destId="{83547C08-A859-4EC9-808C-D27D5C9D899F}" srcOrd="0" destOrd="0" presId="urn:microsoft.com/office/officeart/2005/8/layout/vList5"/>
    <dgm:cxn modelId="{E63EF638-3F66-462E-AA3C-9394858CFDCB}" type="presParOf" srcId="{3C001746-B883-4C96-9D3B-7D8B5FB4549B}" destId="{60F321AF-12C7-4E07-AB00-9B7AEA286EA6}" srcOrd="1" destOrd="0" presId="urn:microsoft.com/office/officeart/2005/8/layout/vList5"/>
    <dgm:cxn modelId="{D2C6750D-3C64-4D8C-A797-0BC3BAA8A9B9}" type="presParOf" srcId="{B225117A-0557-4A81-A987-5BCCAD24DC73}" destId="{61FFA005-6671-448C-8326-1240680E90B1}" srcOrd="3" destOrd="0" presId="urn:microsoft.com/office/officeart/2005/8/layout/vList5"/>
    <dgm:cxn modelId="{9D1B8F84-1D02-4201-AD9F-5268C11F815F}" type="presParOf" srcId="{B225117A-0557-4A81-A987-5BCCAD24DC73}" destId="{A80B5A1C-A6EF-419C-8A01-134C89AAAD4E}" srcOrd="4" destOrd="0" presId="urn:microsoft.com/office/officeart/2005/8/layout/vList5"/>
    <dgm:cxn modelId="{775886D7-0EEA-42AE-8D37-9ADDDF19ABB7}" type="presParOf" srcId="{A80B5A1C-A6EF-419C-8A01-134C89AAAD4E}" destId="{325C33B5-0818-4E76-B409-CE9C4CA09E8D}" srcOrd="0" destOrd="0" presId="urn:microsoft.com/office/officeart/2005/8/layout/vList5"/>
    <dgm:cxn modelId="{C1A127A5-2AFD-4492-A8B4-12230A74CB64}" type="presParOf" srcId="{A80B5A1C-A6EF-419C-8A01-134C89AAAD4E}" destId="{2A1E6FC5-D110-4526-A435-017209A887DE}" srcOrd="1" destOrd="0" presId="urn:microsoft.com/office/officeart/2005/8/layout/vList5"/>
    <dgm:cxn modelId="{86945472-0DEF-4FE4-82C6-3673D22928AD}" type="presParOf" srcId="{B225117A-0557-4A81-A987-5BCCAD24DC73}" destId="{D09351DB-5148-41B8-A365-E87ACC275486}" srcOrd="5" destOrd="0" presId="urn:microsoft.com/office/officeart/2005/8/layout/vList5"/>
    <dgm:cxn modelId="{4D5A13EA-6591-4A7C-8F34-5D4F38550E0D}" type="presParOf" srcId="{B225117A-0557-4A81-A987-5BCCAD24DC73}" destId="{99E3DF77-CFDC-4DE6-A4C1-45B5E18821FE}" srcOrd="6" destOrd="0" presId="urn:microsoft.com/office/officeart/2005/8/layout/vList5"/>
    <dgm:cxn modelId="{20FCF137-BD1F-49C5-8655-159CFF010E21}" type="presParOf" srcId="{99E3DF77-CFDC-4DE6-A4C1-45B5E18821FE}" destId="{17E3C526-5AF5-49E0-81BB-6D5F0365F993}" srcOrd="0" destOrd="0" presId="urn:microsoft.com/office/officeart/2005/8/layout/vList5"/>
    <dgm:cxn modelId="{6494D58D-536E-41EE-AD65-CFEB11747F2A}" type="presParOf" srcId="{99E3DF77-CFDC-4DE6-A4C1-45B5E18821FE}" destId="{9592E412-E237-415E-ADB2-806052C3C96D}" srcOrd="1" destOrd="0" presId="urn:microsoft.com/office/officeart/2005/8/layout/vList5"/>
    <dgm:cxn modelId="{F61F27AE-3ED0-4FAA-B928-45658E698FA5}" type="presParOf" srcId="{B225117A-0557-4A81-A987-5BCCAD24DC73}" destId="{A73CDB09-319C-4D34-B70D-8E0A24EF4E7F}" srcOrd="7" destOrd="0" presId="urn:microsoft.com/office/officeart/2005/8/layout/vList5"/>
    <dgm:cxn modelId="{3ABA28FE-5F4E-460E-AED0-17333B2EBD75}" type="presParOf" srcId="{B225117A-0557-4A81-A987-5BCCAD24DC73}" destId="{358BF1B7-DD95-4F5A-A92B-FF528CDE7491}" srcOrd="8" destOrd="0" presId="urn:microsoft.com/office/officeart/2005/8/layout/vList5"/>
    <dgm:cxn modelId="{D08AD44E-DC64-4F6A-80AA-9432488864D9}" type="presParOf" srcId="{358BF1B7-DD95-4F5A-A92B-FF528CDE7491}" destId="{04977FAE-01E5-4543-92E2-CBF4D17B6F8E}" srcOrd="0" destOrd="0" presId="urn:microsoft.com/office/officeart/2005/8/layout/vList5"/>
    <dgm:cxn modelId="{E922143C-CBBF-4CC4-BBBB-07E8FB4CE3F1}" type="presParOf" srcId="{358BF1B7-DD95-4F5A-A92B-FF528CDE7491}" destId="{B5E87EB5-AF62-4AB5-B8F0-6AFF489052F5}" srcOrd="1" destOrd="0" presId="urn:microsoft.com/office/officeart/2005/8/layout/vList5"/>
    <dgm:cxn modelId="{FCAFFF9E-077C-4029-8BE4-02BF45E17364}" type="presParOf" srcId="{B225117A-0557-4A81-A987-5BCCAD24DC73}" destId="{9502848C-E671-48C9-A90C-394F456E3B8B}" srcOrd="9" destOrd="0" presId="urn:microsoft.com/office/officeart/2005/8/layout/vList5"/>
    <dgm:cxn modelId="{74E1C53F-A4DB-4FB6-BE50-F85D9E40ED9F}" type="presParOf" srcId="{B225117A-0557-4A81-A987-5BCCAD24DC73}" destId="{02F5AC05-6217-4856-9E3D-2FD36BA7E36D}" srcOrd="10" destOrd="0" presId="urn:microsoft.com/office/officeart/2005/8/layout/vList5"/>
    <dgm:cxn modelId="{C3259613-15EA-4AC7-9FE2-EB6D5E2395D4}" type="presParOf" srcId="{02F5AC05-6217-4856-9E3D-2FD36BA7E36D}" destId="{B6447456-63D1-4A35-B560-7F385CD4FC8E}" srcOrd="0" destOrd="0" presId="urn:microsoft.com/office/officeart/2005/8/layout/vList5"/>
    <dgm:cxn modelId="{41333D9A-60D6-48CF-9BA1-AF991983D8B9}" type="presParOf" srcId="{02F5AC05-6217-4856-9E3D-2FD36BA7E36D}" destId="{8478F59F-45A7-4976-A7EA-F7ED67767172}" srcOrd="1" destOrd="0" presId="urn:microsoft.com/office/officeart/2005/8/layout/vList5"/>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BD959735-CAE3-4104-BD8B-839A58975484}">
      <dsp:nvSpPr>
        <dsp:cNvPr id="0" name=""/>
        <dsp:cNvSpPr/>
      </dsp:nvSpPr>
      <dsp:spPr>
        <a:xfrm>
          <a:off x="0" y="2060954"/>
          <a:ext cx="5760084" cy="450886"/>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ircle"/>
          <a:bevelB w="165100" h="254000" prst="circle"/>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lstStyle/>
        <a:p>
          <a:pPr lvl="0" algn="ctr" defTabSz="533400">
            <a:lnSpc>
              <a:spcPct val="100000"/>
            </a:lnSpc>
            <a:spcBef>
              <a:spcPct val="0"/>
            </a:spcBef>
          </a:pPr>
          <a:r>
            <a:rPr lang="lv-LV" sz="1200" kern="1200">
              <a:latin typeface="Times New Roman" panose="02020603050405020304" pitchFamily="18" charset="0"/>
              <a:cs typeface="Times New Roman" panose="02020603050405020304" pitchFamily="18" charset="0"/>
            </a:rPr>
            <a:t>Inovatīva ekonomika: Izveidota inovāciju sistēma; t</a:t>
          </a:r>
          <a:r>
            <a:rPr lang="lv-LV" sz="1200" b="0" kern="1200">
              <a:latin typeface="Times New Roman" panose="02020603050405020304" pitchFamily="18" charset="0"/>
              <a:cs typeface="Times New Roman" panose="02020603050405020304" pitchFamily="18" charset="0"/>
            </a:rPr>
            <a:t>ransformēta tautsaimniecība:</a:t>
          </a:r>
          <a:endParaRPr lang="lv-LV" sz="1200" kern="1200">
            <a:latin typeface="Times New Roman" panose="02020603050405020304" pitchFamily="18" charset="0"/>
            <a:cs typeface="Times New Roman" panose="02020603050405020304" pitchFamily="18" charset="0"/>
          </a:endParaRPr>
        </a:p>
      </dsp:txBody>
      <dsp:txXfrm>
        <a:off x="0" y="2060954"/>
        <a:ext cx="5760084" cy="243478"/>
      </dsp:txXfrm>
    </dsp:sp>
    <dsp:sp modelId="{D6170BDA-DB9B-490F-A624-39789F89DD64}">
      <dsp:nvSpPr>
        <dsp:cNvPr id="0" name=""/>
        <dsp:cNvSpPr/>
      </dsp:nvSpPr>
      <dsp:spPr>
        <a:xfrm>
          <a:off x="0" y="2295415"/>
          <a:ext cx="5760084" cy="207407"/>
        </a:xfrm>
        <a:prstGeom prst="rect">
          <a:avLst/>
        </a:prstGeom>
        <a:solidFill>
          <a:schemeClr val="accent2">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lstStyle/>
        <a:p>
          <a:pPr lvl="0" algn="ctr" defTabSz="533400">
            <a:lnSpc>
              <a:spcPct val="90000"/>
            </a:lnSpc>
            <a:spcBef>
              <a:spcPct val="0"/>
            </a:spcBef>
            <a:spcAft>
              <a:spcPct val="35000"/>
            </a:spcAft>
          </a:pPr>
          <a:r>
            <a:rPr lang="lv-LV" sz="1200" b="0" kern="1200">
              <a:latin typeface="Times New Roman" panose="02020603050405020304" pitchFamily="18" charset="0"/>
              <a:cs typeface="Times New Roman" panose="02020603050405020304" pitchFamily="18" charset="0"/>
            </a:rPr>
            <a:t>augsta produktivitāte un resursu izmantošanas efektivitāte</a:t>
          </a:r>
          <a:endParaRPr lang="lv-LV" sz="1200" kern="1200">
            <a:latin typeface="Times New Roman" panose="02020603050405020304" pitchFamily="18" charset="0"/>
            <a:cs typeface="Times New Roman" panose="02020603050405020304" pitchFamily="18" charset="0"/>
          </a:endParaRPr>
        </a:p>
      </dsp:txBody>
      <dsp:txXfrm>
        <a:off x="0" y="2295415"/>
        <a:ext cx="5760084" cy="207407"/>
      </dsp:txXfrm>
    </dsp:sp>
    <dsp:sp modelId="{3C2F619E-73C1-44A1-9A20-FE110D5398B1}">
      <dsp:nvSpPr>
        <dsp:cNvPr id="0" name=""/>
        <dsp:cNvSpPr/>
      </dsp:nvSpPr>
      <dsp:spPr>
        <a:xfrm rot="10800000">
          <a:off x="0" y="1374254"/>
          <a:ext cx="5760084" cy="693463"/>
        </a:xfrm>
        <a:prstGeom prst="upArrowCallout">
          <a:avLst/>
        </a:prstGeom>
        <a:solidFill>
          <a:schemeClr val="accent2">
            <a:hueOff val="635930"/>
            <a:satOff val="-14509"/>
            <a:lumOff val="5360"/>
            <a:alphaOff val="0"/>
          </a:schemeClr>
        </a:solidFill>
        <a:ln>
          <a:noFill/>
        </a:ln>
        <a:effectLst/>
        <a:scene3d>
          <a:camera prst="orthographicFront">
            <a:rot lat="0" lon="0" rev="0"/>
          </a:camera>
          <a:lightRig rig="contrasting" dir="t">
            <a:rot lat="0" lon="0" rev="1200000"/>
          </a:lightRig>
        </a:scene3d>
        <a:sp3d contourW="19050" prstMaterial="metal">
          <a:bevelT w="88900" h="203200" prst="circle"/>
          <a:bevelB w="165100" h="254000" prst="circle"/>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RIS3 mērķa sasniegšanas rādītāji, t.sk.:</a:t>
          </a:r>
        </a:p>
      </dsp:txBody>
      <dsp:txXfrm rot="10800000">
        <a:off x="0" y="1374254"/>
        <a:ext cx="5760084" cy="243405"/>
      </dsp:txXfrm>
    </dsp:sp>
    <dsp:sp modelId="{700B21CD-AA24-41E7-898C-DCCCBCC680EF}">
      <dsp:nvSpPr>
        <dsp:cNvPr id="0" name=""/>
        <dsp:cNvSpPr/>
      </dsp:nvSpPr>
      <dsp:spPr>
        <a:xfrm>
          <a:off x="0" y="1617659"/>
          <a:ext cx="2880042" cy="207345"/>
        </a:xfrm>
        <a:prstGeom prst="rect">
          <a:avLst/>
        </a:prstGeom>
        <a:solidFill>
          <a:schemeClr val="accent2">
            <a:tint val="40000"/>
            <a:alpha val="90000"/>
            <a:hueOff val="329094"/>
            <a:satOff val="-862"/>
            <a:lumOff val="309"/>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Zinātnisko darbinieku skaits P&amp;A</a:t>
          </a:r>
        </a:p>
      </dsp:txBody>
      <dsp:txXfrm>
        <a:off x="0" y="1617659"/>
        <a:ext cx="2880042" cy="207345"/>
      </dsp:txXfrm>
    </dsp:sp>
    <dsp:sp modelId="{8DE892B8-B3F5-4C67-A5C9-678C6BD05799}">
      <dsp:nvSpPr>
        <dsp:cNvPr id="0" name=""/>
        <dsp:cNvSpPr/>
      </dsp:nvSpPr>
      <dsp:spPr>
        <a:xfrm>
          <a:off x="2880042" y="1617659"/>
          <a:ext cx="2880042" cy="207345"/>
        </a:xfrm>
        <a:prstGeom prst="rect">
          <a:avLst/>
        </a:prstGeom>
        <a:solidFill>
          <a:schemeClr val="accent2">
            <a:tint val="40000"/>
            <a:alpha val="90000"/>
            <a:hueOff val="658188"/>
            <a:satOff val="-1724"/>
            <a:lumOff val="617"/>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Kopējie ieguldījumi P&amp;A 1.5% no IKP</a:t>
          </a:r>
        </a:p>
      </dsp:txBody>
      <dsp:txXfrm>
        <a:off x="2880042" y="1617659"/>
        <a:ext cx="2880042" cy="207345"/>
      </dsp:txXfrm>
    </dsp:sp>
    <dsp:sp modelId="{73543F7E-D00D-47AE-BF34-1A4B8CCE6AB3}">
      <dsp:nvSpPr>
        <dsp:cNvPr id="0" name=""/>
        <dsp:cNvSpPr/>
      </dsp:nvSpPr>
      <dsp:spPr>
        <a:xfrm rot="10800000">
          <a:off x="0" y="687554"/>
          <a:ext cx="5760084" cy="693463"/>
        </a:xfrm>
        <a:prstGeom prst="upArrowCallout">
          <a:avLst/>
        </a:prstGeom>
        <a:solidFill>
          <a:schemeClr val="accent2">
            <a:hueOff val="1271860"/>
            <a:satOff val="-29019"/>
            <a:lumOff val="10719"/>
            <a:alphaOff val="0"/>
          </a:schemeClr>
        </a:solidFill>
        <a:ln>
          <a:noFill/>
        </a:ln>
        <a:effectLst/>
        <a:scene3d>
          <a:camera prst="orthographicFront">
            <a:rot lat="0" lon="0" rev="0"/>
          </a:camera>
          <a:lightRig rig="contrasting" dir="t">
            <a:rot lat="0" lon="0" rev="1200000"/>
          </a:lightRig>
        </a:scene3d>
        <a:sp3d contourW="19050" prstMaterial="metal">
          <a:bevelT w="88900" h="203200" prst="circle"/>
          <a:bevelB w="165100" h="254000" prst="circle"/>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RIS3 mikro līmeņa rādītāji, t.sk.:</a:t>
          </a:r>
        </a:p>
      </dsp:txBody>
      <dsp:txXfrm rot="10800000">
        <a:off x="0" y="687554"/>
        <a:ext cx="5760084" cy="243405"/>
      </dsp:txXfrm>
    </dsp:sp>
    <dsp:sp modelId="{F4AFE10E-22E6-4A21-89A7-B83F66280738}">
      <dsp:nvSpPr>
        <dsp:cNvPr id="0" name=""/>
        <dsp:cNvSpPr/>
      </dsp:nvSpPr>
      <dsp:spPr>
        <a:xfrm>
          <a:off x="0" y="930959"/>
          <a:ext cx="2880042" cy="207345"/>
        </a:xfrm>
        <a:prstGeom prst="rect">
          <a:avLst/>
        </a:prstGeom>
        <a:solidFill>
          <a:schemeClr val="accent2">
            <a:tint val="40000"/>
            <a:alpha val="90000"/>
            <a:hueOff val="987282"/>
            <a:satOff val="-2587"/>
            <a:lumOff val="926"/>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71120" tIns="12700" rIns="71120" bIns="12700" numCol="1" spcCol="1270" anchor="ctr" anchorCtr="0"/>
        <a:lstStyle/>
        <a:p>
          <a:pPr lvl="0" algn="ctr" defTabSz="422275">
            <a:lnSpc>
              <a:spcPct val="90000"/>
            </a:lnSpc>
            <a:spcBef>
              <a:spcPct val="0"/>
            </a:spcBef>
            <a:spcAft>
              <a:spcPct val="35000"/>
            </a:spcAft>
          </a:pPr>
          <a:r>
            <a:rPr lang="lv-LV" sz="950" kern="1200">
              <a:latin typeface="Times New Roman" panose="02020603050405020304" pitchFamily="18" charset="0"/>
              <a:cs typeface="Times New Roman" panose="02020603050405020304" pitchFamily="18" charset="0"/>
            </a:rPr>
            <a:t>Jaunradītās darba vietas, t.sk. zinātniskiem darbiniekiem</a:t>
          </a:r>
        </a:p>
      </dsp:txBody>
      <dsp:txXfrm>
        <a:off x="0" y="930959"/>
        <a:ext cx="2880042" cy="207345"/>
      </dsp:txXfrm>
    </dsp:sp>
    <dsp:sp modelId="{A335386E-F694-4462-94CB-7BA9E5D71492}">
      <dsp:nvSpPr>
        <dsp:cNvPr id="0" name=""/>
        <dsp:cNvSpPr/>
      </dsp:nvSpPr>
      <dsp:spPr>
        <a:xfrm>
          <a:off x="2880042" y="930959"/>
          <a:ext cx="2880042" cy="207345"/>
        </a:xfrm>
        <a:prstGeom prst="rect">
          <a:avLst/>
        </a:prstGeom>
        <a:solidFill>
          <a:schemeClr val="accent2">
            <a:tint val="40000"/>
            <a:alpha val="90000"/>
            <a:hueOff val="1316376"/>
            <a:satOff val="-3449"/>
            <a:lumOff val="1235"/>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Uzņēmumu līdzfinansējums P&amp;A </a:t>
          </a:r>
        </a:p>
      </dsp:txBody>
      <dsp:txXfrm>
        <a:off x="2880042" y="930959"/>
        <a:ext cx="2880042" cy="207345"/>
      </dsp:txXfrm>
    </dsp:sp>
    <dsp:sp modelId="{81780DFB-F983-4CCF-B124-F38B7B7FB0B0}">
      <dsp:nvSpPr>
        <dsp:cNvPr id="0" name=""/>
        <dsp:cNvSpPr/>
      </dsp:nvSpPr>
      <dsp:spPr>
        <a:xfrm rot="10800000">
          <a:off x="0" y="854"/>
          <a:ext cx="5760084" cy="693463"/>
        </a:xfrm>
        <a:prstGeom prst="upArrowCallout">
          <a:avLst/>
        </a:prstGeom>
        <a:solidFill>
          <a:schemeClr val="accent2">
            <a:hueOff val="1907789"/>
            <a:satOff val="-43528"/>
            <a:lumOff val="16079"/>
            <a:alphaOff val="0"/>
          </a:schemeClr>
        </a:solidFill>
        <a:ln>
          <a:noFill/>
        </a:ln>
        <a:effectLst/>
        <a:scene3d>
          <a:camera prst="orthographicFront">
            <a:rot lat="0" lon="0" rev="0"/>
          </a:camera>
          <a:lightRig rig="contrasting" dir="t">
            <a:rot lat="0" lon="0" rev="1200000"/>
          </a:lightRig>
        </a:scene3d>
        <a:sp3d contourW="19050" prstMaterial="metal">
          <a:bevelT w="88900" h="203200" prst="circle"/>
          <a:bevelB w="165100" h="254000" prst="circle"/>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SAM 1.1.1. pasākumu iznākuma rādītāji:</a:t>
          </a:r>
        </a:p>
      </dsp:txBody>
      <dsp:txXfrm rot="10800000">
        <a:off x="0" y="854"/>
        <a:ext cx="5760084" cy="243405"/>
      </dsp:txXfrm>
    </dsp:sp>
    <dsp:sp modelId="{584B2773-5F0A-4682-BC51-7A4D5B1E6ABD}">
      <dsp:nvSpPr>
        <dsp:cNvPr id="0" name=""/>
        <dsp:cNvSpPr/>
      </dsp:nvSpPr>
      <dsp:spPr>
        <a:xfrm>
          <a:off x="0" y="244259"/>
          <a:ext cx="2880042" cy="207345"/>
        </a:xfrm>
        <a:prstGeom prst="rect">
          <a:avLst/>
        </a:prstGeom>
        <a:solidFill>
          <a:schemeClr val="accent2">
            <a:tint val="40000"/>
            <a:alpha val="90000"/>
            <a:hueOff val="1645470"/>
            <a:satOff val="-4311"/>
            <a:lumOff val="1543"/>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Jaunu pētnieku skaits atbalstītajās vienībās</a:t>
          </a:r>
        </a:p>
      </dsp:txBody>
      <dsp:txXfrm>
        <a:off x="0" y="244259"/>
        <a:ext cx="2880042" cy="207345"/>
      </dsp:txXfrm>
    </dsp:sp>
    <dsp:sp modelId="{F21EE9ED-0099-4AE2-A4A0-CA88A3C23025}">
      <dsp:nvSpPr>
        <dsp:cNvPr id="0" name=""/>
        <dsp:cNvSpPr/>
      </dsp:nvSpPr>
      <dsp:spPr>
        <a:xfrm>
          <a:off x="2880042" y="244259"/>
          <a:ext cx="2880042" cy="207345"/>
        </a:xfrm>
        <a:prstGeom prst="rect">
          <a:avLst/>
        </a:prstGeom>
        <a:solidFill>
          <a:schemeClr val="accent2">
            <a:tint val="40000"/>
            <a:alpha val="90000"/>
            <a:hueOff val="1974564"/>
            <a:satOff val="-5173"/>
            <a:lumOff val="1852"/>
            <a:alphaOff val="0"/>
          </a:schemeClr>
        </a:solidFill>
        <a:ln>
          <a:noFill/>
        </a:ln>
        <a:effectLst/>
        <a:scene3d>
          <a:camera prst="orthographicFront">
            <a:rot lat="0" lon="0" rev="0"/>
          </a:camera>
          <a:lightRig rig="contrasting" dir="t">
            <a:rot lat="0" lon="0" rev="1200000"/>
          </a:lightRig>
        </a:scene3d>
        <a:sp3d contourW="19050" prstMaterial="metal" z="300000">
          <a:bevelT w="88900" h="203200" prst="circle"/>
          <a:bevelB w="165100" h="254000" prst="circle"/>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Privātās investīcijas P&amp;A</a:t>
          </a:r>
        </a:p>
      </dsp:txBody>
      <dsp:txXfrm>
        <a:off x="2880042" y="244259"/>
        <a:ext cx="2880042" cy="2073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37CB64AB-55B6-41C1-8980-52C7C9569A7B}">
      <dsp:nvSpPr>
        <dsp:cNvPr id="0" name=""/>
        <dsp:cNvSpPr/>
      </dsp:nvSpPr>
      <dsp:spPr>
        <a:xfrm rot="5400000">
          <a:off x="3484091" y="-1425787"/>
          <a:ext cx="545573" cy="3535885"/>
        </a:xfrm>
        <a:prstGeom prst="round2SameRect">
          <a:avLst/>
        </a:prstGeom>
        <a:solidFill>
          <a:srgbClr val="CFB6B5">
            <a:alpha val="89804"/>
          </a:srgbClr>
        </a:solidFill>
        <a:ln w="12700">
          <a:solidFill>
            <a:schemeClr val="accent2">
              <a:alpha val="90000"/>
              <a:tint val="40000"/>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lstStyle/>
        <a:p>
          <a:pPr marL="57150" lvl="1" indent="-57150" algn="l" defTabSz="488950">
            <a:lnSpc>
              <a:spcPct val="90000"/>
            </a:lnSpc>
            <a:spcBef>
              <a:spcPct val="0"/>
            </a:spcBef>
            <a:spcAft>
              <a:spcPct val="15000"/>
            </a:spcAft>
            <a:buChar char="••"/>
          </a:pPr>
          <a:r>
            <a:rPr lang="lv-LV" sz="1100" b="1" kern="1200">
              <a:latin typeface="Times New Roman" panose="02020603050405020304" pitchFamily="18" charset="0"/>
              <a:cs typeface="Times New Roman" panose="02020603050405020304" pitchFamily="18" charset="0"/>
            </a:rPr>
            <a:t>SAM 1.1.1. pasākumu iznākuma rādītāji, kas tieši vērsti uz RIS3 mērķu sasniegšanu </a:t>
          </a:r>
        </a:p>
      </dsp:txBody>
      <dsp:txXfrm rot="16200000">
        <a:off x="1988936" y="96001"/>
        <a:ext cx="3509252" cy="492307"/>
      </dsp:txXfrm>
    </dsp:sp>
    <dsp:sp modelId="{2C7383BB-71C1-4AEA-84E3-5F2FFC892280}">
      <dsp:nvSpPr>
        <dsp:cNvPr id="0" name=""/>
        <dsp:cNvSpPr/>
      </dsp:nvSpPr>
      <dsp:spPr>
        <a:xfrm>
          <a:off x="0" y="1171"/>
          <a:ext cx="1988935" cy="681967"/>
        </a:xfrm>
        <a:prstGeom prst="roundRect">
          <a:avLst/>
        </a:prstGeom>
        <a:solidFill>
          <a:srgbClr val="80261A"/>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RIS3 mikro līmeņa rādītāji</a:t>
          </a:r>
        </a:p>
      </dsp:txBody>
      <dsp:txXfrm>
        <a:off x="33291" y="34462"/>
        <a:ext cx="1922353" cy="615385"/>
      </dsp:txXfrm>
    </dsp:sp>
    <dsp:sp modelId="{60F321AF-12C7-4E07-AB00-9B7AEA286EA6}">
      <dsp:nvSpPr>
        <dsp:cNvPr id="0" name=""/>
        <dsp:cNvSpPr/>
      </dsp:nvSpPr>
      <dsp:spPr>
        <a:xfrm rot="5400000">
          <a:off x="3484091" y="-709721"/>
          <a:ext cx="545573" cy="3535885"/>
        </a:xfrm>
        <a:prstGeom prst="round2SameRect">
          <a:avLst/>
        </a:prstGeom>
        <a:solidFill>
          <a:schemeClr val="accent2">
            <a:alpha val="90000"/>
            <a:tint val="40000"/>
            <a:hueOff val="0"/>
            <a:satOff val="0"/>
            <a:lumOff val="0"/>
            <a:alphaOff val="0"/>
          </a:schemeClr>
        </a:solidFill>
        <a:ln w="12700">
          <a:solidFill>
            <a:schemeClr val="accent2">
              <a:alpha val="90000"/>
              <a:tint val="40000"/>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tehnoloģiju tiesības (PUD 1.1.1.f)</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intelektuālā īpašuma licences līgumi (PUD 1.1.1.g)</a:t>
          </a:r>
        </a:p>
      </dsp:txBody>
      <dsp:txXfrm rot="16200000">
        <a:off x="1988936" y="812067"/>
        <a:ext cx="3509252" cy="492307"/>
      </dsp:txXfrm>
    </dsp:sp>
    <dsp:sp modelId="{83547C08-A859-4EC9-808C-D27D5C9D899F}">
      <dsp:nvSpPr>
        <dsp:cNvPr id="0" name=""/>
        <dsp:cNvSpPr/>
      </dsp:nvSpPr>
      <dsp:spPr>
        <a:xfrm>
          <a:off x="0" y="717237"/>
          <a:ext cx="1988935" cy="681967"/>
        </a:xfrm>
        <a:prstGeom prst="roundRect">
          <a:avLst/>
        </a:prstGeom>
        <a:solidFill>
          <a:schemeClr val="accent2">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Zinātnisko institūciju licenču/patentu ieņēmumi (EUR)</a:t>
          </a:r>
        </a:p>
      </dsp:txBody>
      <dsp:txXfrm>
        <a:off x="33291" y="750528"/>
        <a:ext cx="1922353" cy="615385"/>
      </dsp:txXfrm>
    </dsp:sp>
    <dsp:sp modelId="{2A1E6FC5-D110-4526-A435-017209A887DE}">
      <dsp:nvSpPr>
        <dsp:cNvPr id="0" name=""/>
        <dsp:cNvSpPr/>
      </dsp:nvSpPr>
      <dsp:spPr>
        <a:xfrm rot="5400000">
          <a:off x="3484091" y="6343"/>
          <a:ext cx="545573" cy="3535885"/>
        </a:xfrm>
        <a:prstGeom prst="round2SameRect">
          <a:avLst/>
        </a:prstGeom>
        <a:solidFill>
          <a:schemeClr val="accent2">
            <a:alpha val="90000"/>
            <a:tint val="40000"/>
            <a:hueOff val="0"/>
            <a:satOff val="0"/>
            <a:lumOff val="0"/>
            <a:alphaOff val="0"/>
          </a:schemeClr>
        </a:solidFill>
        <a:ln w="12700">
          <a:solidFill>
            <a:schemeClr val="accent2">
              <a:alpha val="90000"/>
              <a:tint val="40000"/>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lstStyle/>
        <a:p>
          <a:pPr marL="115200" lvl="1" indent="-115200" algn="l" defTabSz="488950">
            <a:lnSpc>
              <a:spcPct val="90000"/>
            </a:lnSpc>
            <a:spcBef>
              <a:spcPct val="0"/>
            </a:spcBef>
            <a:spcAft>
              <a:spcPts val="216"/>
            </a:spcAft>
            <a:buChar char="••"/>
          </a:pPr>
          <a:r>
            <a:rPr lang="lv-LV" sz="1100" kern="1200">
              <a:latin typeface="Times New Roman" panose="02020603050405020304" pitchFamily="18" charset="0"/>
              <a:cs typeface="Times New Roman" panose="02020603050405020304" pitchFamily="18" charset="0"/>
            </a:rPr>
            <a:t>privātās investīcijas, kas papildina valsts atbalstu P&amp;A&amp;I (i.1.1.1.f)</a:t>
          </a:r>
        </a:p>
        <a:p>
          <a:pPr marL="115200" lvl="1" indent="-115200" algn="l" defTabSz="488950">
            <a:lnSpc>
              <a:spcPct val="90000"/>
            </a:lnSpc>
            <a:spcBef>
              <a:spcPct val="0"/>
            </a:spcBef>
            <a:spcAft>
              <a:spcPts val="216"/>
            </a:spcAft>
            <a:buChar char="••"/>
          </a:pPr>
          <a:r>
            <a:rPr lang="lv-LV" sz="1100" kern="1200">
              <a:latin typeface="Times New Roman" panose="02020603050405020304" pitchFamily="18" charset="0"/>
              <a:cs typeface="Times New Roman" panose="02020603050405020304" pitchFamily="18" charset="0"/>
            </a:rPr>
            <a:t>komersantu skaits, kuri sadarbojas ar pētniecības organizāciju (i.1.1.1.ck (CO26))</a:t>
          </a:r>
        </a:p>
      </dsp:txBody>
      <dsp:txXfrm rot="16200000">
        <a:off x="1988936" y="1528132"/>
        <a:ext cx="3509252" cy="492307"/>
      </dsp:txXfrm>
    </dsp:sp>
    <dsp:sp modelId="{325C33B5-0818-4E76-B409-CE9C4CA09E8D}">
      <dsp:nvSpPr>
        <dsp:cNvPr id="0" name=""/>
        <dsp:cNvSpPr/>
      </dsp:nvSpPr>
      <dsp:spPr>
        <a:xfrm>
          <a:off x="0" y="1433302"/>
          <a:ext cx="1988935" cy="681967"/>
        </a:xfrm>
        <a:prstGeom prst="roundRect">
          <a:avLst/>
        </a:prstGeom>
        <a:solidFill>
          <a:schemeClr val="accent2">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Uzņēmumu līdzfinansējums P&amp;A projektiem (EUR)</a:t>
          </a:r>
        </a:p>
      </dsp:txBody>
      <dsp:txXfrm>
        <a:off x="33291" y="1466593"/>
        <a:ext cx="1922353" cy="615385"/>
      </dsp:txXfrm>
    </dsp:sp>
    <dsp:sp modelId="{9592E412-E237-415E-ADB2-806052C3C96D}">
      <dsp:nvSpPr>
        <dsp:cNvPr id="0" name=""/>
        <dsp:cNvSpPr/>
      </dsp:nvSpPr>
      <dsp:spPr>
        <a:xfrm rot="5400000">
          <a:off x="3484091" y="722409"/>
          <a:ext cx="545573" cy="3535885"/>
        </a:xfrm>
        <a:prstGeom prst="round2SameRect">
          <a:avLst/>
        </a:prstGeom>
        <a:solidFill>
          <a:schemeClr val="accent2">
            <a:alpha val="90000"/>
            <a:tint val="40000"/>
            <a:hueOff val="0"/>
            <a:satOff val="0"/>
            <a:lumOff val="0"/>
            <a:alphaOff val="0"/>
          </a:schemeClr>
        </a:solidFill>
        <a:ln w="12700">
          <a:solidFill>
            <a:schemeClr val="accent2">
              <a:alpha val="90000"/>
              <a:tint val="40000"/>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jauno produktu un tehnoloģiju skaits (i.1.1.1.g)</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jauna produkta vai tehnoloģijas prototips (PUD 1.1.1.d), t.sk. jauna ārstniecības un diagnostikas metode (PUD 1.1.1.e)</a:t>
          </a:r>
        </a:p>
      </dsp:txBody>
      <dsp:txXfrm rot="16200000">
        <a:off x="1988936" y="2244198"/>
        <a:ext cx="3509252" cy="492307"/>
      </dsp:txXfrm>
    </dsp:sp>
    <dsp:sp modelId="{17E3C526-5AF5-49E0-81BB-6D5F0365F993}">
      <dsp:nvSpPr>
        <dsp:cNvPr id="0" name=""/>
        <dsp:cNvSpPr/>
      </dsp:nvSpPr>
      <dsp:spPr>
        <a:xfrm>
          <a:off x="0" y="2149368"/>
          <a:ext cx="1988935" cy="681967"/>
        </a:xfrm>
        <a:prstGeom prst="roundRect">
          <a:avLst/>
        </a:prstGeom>
        <a:solidFill>
          <a:schemeClr val="accent2">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Uzņēmumu skaits, kas saņēmuši atbalstu, lai ieviestu jaunus produktus un tehnoloģijas</a:t>
          </a:r>
        </a:p>
      </dsp:txBody>
      <dsp:txXfrm>
        <a:off x="33291" y="2182659"/>
        <a:ext cx="1922353" cy="615385"/>
      </dsp:txXfrm>
    </dsp:sp>
    <dsp:sp modelId="{B5E87EB5-AF62-4AB5-B8F0-6AFF489052F5}">
      <dsp:nvSpPr>
        <dsp:cNvPr id="0" name=""/>
        <dsp:cNvSpPr/>
      </dsp:nvSpPr>
      <dsp:spPr>
        <a:xfrm rot="5400000">
          <a:off x="3484091" y="1438475"/>
          <a:ext cx="545573" cy="3535885"/>
        </a:xfrm>
        <a:prstGeom prst="round2SameRect">
          <a:avLst/>
        </a:prstGeom>
        <a:solidFill>
          <a:schemeClr val="accent2">
            <a:alpha val="90000"/>
            <a:tint val="40000"/>
            <a:hueOff val="0"/>
            <a:satOff val="0"/>
            <a:lumOff val="0"/>
            <a:alphaOff val="0"/>
          </a:schemeClr>
        </a:solidFill>
        <a:ln w="12700">
          <a:solidFill>
            <a:schemeClr val="accent2">
              <a:alpha val="90000"/>
              <a:tint val="40000"/>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jaunu pētnieku skaits atbalstītajās vienībās (pilnas slodzes ekvivalents) (i.1.1.1.bk (CO24))</a:t>
          </a:r>
        </a:p>
      </dsp:txBody>
      <dsp:txXfrm rot="16200000">
        <a:off x="1988936" y="2960264"/>
        <a:ext cx="3509252" cy="492307"/>
      </dsp:txXfrm>
    </dsp:sp>
    <dsp:sp modelId="{04977FAE-01E5-4543-92E2-CBF4D17B6F8E}">
      <dsp:nvSpPr>
        <dsp:cNvPr id="0" name=""/>
        <dsp:cNvSpPr/>
      </dsp:nvSpPr>
      <dsp:spPr>
        <a:xfrm>
          <a:off x="0" y="2865434"/>
          <a:ext cx="1988935" cy="681967"/>
        </a:xfrm>
        <a:prstGeom prst="roundRect">
          <a:avLst/>
        </a:prstGeom>
        <a:solidFill>
          <a:schemeClr val="accent2">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Jaunradītās darba vietas, t.sk. tās, kurās nodarbināti zinātniskie darbinieki publiskā / uzņēmējdarbības sektorā</a:t>
          </a:r>
        </a:p>
      </dsp:txBody>
      <dsp:txXfrm>
        <a:off x="33291" y="2898725"/>
        <a:ext cx="1922353" cy="615385"/>
      </dsp:txXfrm>
    </dsp:sp>
    <dsp:sp modelId="{8478F59F-45A7-4976-A7EA-F7ED67767172}">
      <dsp:nvSpPr>
        <dsp:cNvPr id="0" name=""/>
        <dsp:cNvSpPr/>
      </dsp:nvSpPr>
      <dsp:spPr>
        <a:xfrm rot="5400000">
          <a:off x="3445538" y="2154541"/>
          <a:ext cx="622679" cy="3535885"/>
        </a:xfrm>
        <a:prstGeom prst="round2SameRect">
          <a:avLst/>
        </a:prstGeom>
        <a:solidFill>
          <a:schemeClr val="accent2">
            <a:alpha val="90000"/>
            <a:tint val="40000"/>
            <a:hueOff val="0"/>
            <a:satOff val="0"/>
            <a:lumOff val="0"/>
            <a:alphaOff val="0"/>
          </a:schemeClr>
        </a:solidFill>
        <a:ln w="12700">
          <a:solidFill>
            <a:schemeClr val="accent2">
              <a:alpha val="90000"/>
              <a:tint val="40000"/>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zinātnisko rakstu skaits, kuru izstrādei un publicēšanai ir sniegts atbalsts (i.1.1.1.e), t.sk: </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publikācijas, kuru citēšanas indekss sasniedz vismaz 50 % no nozares vidējā citēšanas indeksa (PUD 1.1.1.a)</a:t>
          </a:r>
        </a:p>
      </dsp:txBody>
      <dsp:txXfrm rot="16200000">
        <a:off x="1988936" y="3641541"/>
        <a:ext cx="3505488" cy="561885"/>
      </dsp:txXfrm>
    </dsp:sp>
    <dsp:sp modelId="{B6447456-63D1-4A35-B560-7F385CD4FC8E}">
      <dsp:nvSpPr>
        <dsp:cNvPr id="0" name=""/>
        <dsp:cNvSpPr/>
      </dsp:nvSpPr>
      <dsp:spPr>
        <a:xfrm>
          <a:off x="0" y="3581500"/>
          <a:ext cx="1988935" cy="681967"/>
        </a:xfrm>
        <a:prstGeom prst="roundRect">
          <a:avLst/>
        </a:prstGeom>
        <a:solidFill>
          <a:schemeClr val="accent2">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Zinātniskie raksti, kas publicēti starptautiskās datu bāzēs indeksētos žurnālos (Scopus, Web of Science)</a:t>
          </a:r>
        </a:p>
      </dsp:txBody>
      <dsp:txXfrm>
        <a:off x="33291" y="3614791"/>
        <a:ext cx="1922353" cy="6153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val="norm"/>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4"/>
      <dgm:constr type="w" for="ch" forName="arrowAndChildren" refType="w"/>
      <dgm:constr type="w" for="ch" forName="boxAndChildren" refType="w"/>
      <dgm:constr type="h" for="ch" forName="sp" refType="h" fact="-0.02"/>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arg="none" op="equ" val="1">
          <dgm:layoutNode name="boxAndChildren">
            <dgm:alg type="composite"/>
            <dgm:shape xmlns:r="http://schemas.openxmlformats.org/officeDocument/2006/relationships" r:blip="">
              <dgm:adjLst/>
            </dgm:shape>
            <dgm:presOf/>
            <dgm:choose name="Name4">
              <dgm:if name="Name5" axis="ch" ptType="node" func="cnt" arg="none"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arg="none"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arg="none"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arg="none" op="gte" val="1">
                <dgm:constrLst>
                  <dgm:constr type="w" for="ch" forName="parentTextArrow" refType="w"/>
                  <dgm:constr type="t" for="ch" forName="parentTextArrow"/>
                  <dgm:constr type="h" for="ch" forName="parentTextArrow" refType="h" fact="0.35"/>
                  <dgm:constr type="w" for="ch" forName="arrow" refType="w"/>
                  <dgm:constr type="h" for="ch" forName="arrow" refType="h"/>
                  <dgm:constr type="w" for="ch" forName="descendantArrow" refType="w"/>
                  <dgm:constr type="b" for="ch" forName="descendantArrow" refType="h" fact="0.65"/>
                  <dgm:constr type="h" for="ch" forName="descendantArrow" refType="h" fact="0.3"/>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arg="none"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arg="none"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val="norm"/>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arg="none"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dgm:bevelT w="177800" h="254000" prst="circle"/>
      <dgm:bevelB w="152400" h="0" prst="circle"/>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dgm:bevelT w="177800" h="254000" prst="circle"/>
      <dgm:bevelB w="152400" h="0" prst="circle"/>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contourW="19050" prstMaterial="metal" z="-182000">
      <dgm:bevelT w="88900" h="203200" prst="circle"/>
      <dgm:bevelB w="165100" h="254000" prst="circle"/>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contourW="12700" prstMaterial="flat" z="300000">
      <dgm:bevelT w="177800" h="254000" prst="circle"/>
      <dgm:bevelB w="152400" h="0" prst="circle"/>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prstMaterial="plastic" z="-300000"/>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dgm:bevelT w="100800" h="154000" prst="circle"/>
      <dgm:bevelB w="152400" h="0" prst="circle"/>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prstMaterial="matte" z="-152400"/>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contourW="19050" prstMaterial="metal" z="300000">
      <dgm:bevelT w="88900" h="203200" prst="circle"/>
      <dgm:bevelB w="165100" h="254000" prst="circle"/>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D625-31F2-4120-B1F3-F85BA6E4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50</Pages>
  <Words>14291</Words>
  <Characters>107472</Characters>
  <Application>Microsoft Office Word</Application>
  <DocSecurity>0</DocSecurity>
  <Lines>2388</Lines>
  <Paragraphs>922</Paragraphs>
  <ScaleCrop>false</ScaleCrop>
  <HeadingPairs>
    <vt:vector size="2" baseType="variant">
      <vt:variant>
        <vt:lpstr>Title</vt:lpstr>
      </vt:variant>
      <vt:variant>
        <vt:i4>1</vt:i4>
      </vt:variant>
    </vt:vector>
  </HeadingPairs>
  <TitlesOfParts>
    <vt:vector size="1" baseType="lpstr">
      <vt:lpstr>Informatīvais ziņojums "Darbības programmas "Izaugsme un nodarbinātība" 1.1.1.specifiskā atbalsta mērķa "Palielināt Latvijas zinātnisko institūciju pētniecisko un inovatīvo kapacitāti un spēju piesaistīt ārējo finansējumu, ieguldot cilvēkresursos un infra</vt:lpstr>
    </vt:vector>
  </TitlesOfParts>
  <Company>2017</Company>
  <LinksUpToDate>false</LinksUpToDate>
  <CharactersWithSpaces>120841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"Darbības programmas "Izaugsme un nodarbinātība" 1.1.1.specifiskā atbalsta mērķa "Palielināt Latvijas zinātnisko institūciju pētniecisko un inovatīvo kapacitāti un spēju piesaistīt ārējo finansējumu, ieguldot cilvēkresursos un infra</dc:title>
  <dc:subject>informatīvais ziņojums</dc:subject>
  <dc:creator>Švirksta</dc:creator>
  <cp:lastModifiedBy>Inta Švirksta</cp:lastModifiedBy>
  <cp:revision>38</cp:revision>
  <cp:lastPrinted>2017-12-15T06:50:00Z</cp:lastPrinted>
  <dcterms:created xsi:type="dcterms:W3CDTF">2018-01-29T07:34:00Z</dcterms:created>
  <dcterms:modified xsi:type="dcterms:W3CDTF">2018-02-07T10:14:00Z</dcterms:modified>
</cp:coreProperties>
</file>